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573DE6"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573DE6"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573DE6"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573DE6"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573DE6"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573DE6"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573DE6"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573DE6"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573DE6"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573DE6">
        <w:rPr>
          <w:rFonts w:cstheme="minorHAnsi"/>
          <w:sz w:val="20"/>
          <w:szCs w:val="20"/>
        </w:rPr>
        <w:t>OPTION 1</w:t>
      </w:r>
      <w:r w:rsidR="009C7B1A" w:rsidRPr="00573DE6">
        <w:rPr>
          <w:rFonts w:cstheme="minorHAnsi"/>
          <w:sz w:val="20"/>
          <w:szCs w:val="20"/>
        </w:rPr>
        <w:t> : AUTORISATION SPECIFIQUE PREALABLE</w:t>
      </w:r>
      <w:r w:rsidR="007D4E92" w:rsidRPr="00573DE6">
        <w:rPr>
          <w:rFonts w:cstheme="minorHAnsi"/>
          <w:sz w:val="20"/>
          <w:szCs w:val="20"/>
        </w:rPr>
        <w:t xml:space="preserve"> </w:t>
      </w:r>
      <w:r w:rsidRPr="00573DE6">
        <w:rPr>
          <w:rFonts w:cstheme="minorHAnsi"/>
          <w:sz w:val="20"/>
          <w:szCs w:val="20"/>
        </w:rPr>
        <w:t xml:space="preserve">: </w:t>
      </w:r>
      <w:r w:rsidR="006D489D" w:rsidRPr="00573DE6">
        <w:rPr>
          <w:rFonts w:cstheme="minorHAnsi"/>
          <w:sz w:val="20"/>
          <w:szCs w:val="20"/>
        </w:rPr>
        <w:t>L</w:t>
      </w:r>
      <w:r w:rsidR="006F5157" w:rsidRPr="00573DE6">
        <w:rPr>
          <w:rFonts w:cstheme="minorHAnsi"/>
          <w:sz w:val="20"/>
          <w:szCs w:val="20"/>
        </w:rPr>
        <w:t>e sous-traitant n</w:t>
      </w:r>
      <w:r w:rsidR="00B335ED" w:rsidRPr="00573DE6">
        <w:rPr>
          <w:rFonts w:cstheme="minorHAnsi"/>
          <w:sz w:val="20"/>
          <w:szCs w:val="20"/>
        </w:rPr>
        <w:t>’</w:t>
      </w:r>
      <w:r w:rsidR="006F5157" w:rsidRPr="00573DE6">
        <w:rPr>
          <w:rFonts w:cstheme="minorHAnsi"/>
          <w:sz w:val="20"/>
          <w:szCs w:val="20"/>
        </w:rPr>
        <w:t>est pas autorisé à sous-traiter à un sous-traitant ultérieur les opérations de traitement qu</w:t>
      </w:r>
      <w:r w:rsidR="00B335ED" w:rsidRPr="00573DE6">
        <w:rPr>
          <w:rFonts w:cstheme="minorHAnsi"/>
          <w:sz w:val="20"/>
          <w:szCs w:val="20"/>
        </w:rPr>
        <w:t>’</w:t>
      </w:r>
      <w:r w:rsidR="006F5157" w:rsidRPr="00573DE6">
        <w:rPr>
          <w:rFonts w:cstheme="minorHAnsi"/>
          <w:sz w:val="20"/>
          <w:szCs w:val="20"/>
        </w:rPr>
        <w:t>il effectue pour le compte du responsable du traitement en vertu des présentes clauses sans l</w:t>
      </w:r>
      <w:r w:rsidR="00B335ED" w:rsidRPr="00573DE6">
        <w:rPr>
          <w:rFonts w:cstheme="minorHAnsi"/>
          <w:sz w:val="20"/>
          <w:szCs w:val="20"/>
        </w:rPr>
        <w:t>’</w:t>
      </w:r>
      <w:r w:rsidR="006F5157" w:rsidRPr="00573DE6">
        <w:rPr>
          <w:rFonts w:cstheme="minorHAnsi"/>
          <w:sz w:val="20"/>
          <w:szCs w:val="20"/>
        </w:rPr>
        <w:t>autorisation écrite spécifique préalable du responsable du traitement. Le sous-traitant soumet la demande d</w:t>
      </w:r>
      <w:r w:rsidR="00B335ED" w:rsidRPr="00573DE6">
        <w:rPr>
          <w:rFonts w:cstheme="minorHAnsi"/>
          <w:sz w:val="20"/>
          <w:szCs w:val="20"/>
        </w:rPr>
        <w:t>’</w:t>
      </w:r>
      <w:r w:rsidR="006F5157" w:rsidRPr="00573DE6">
        <w:rPr>
          <w:rFonts w:cstheme="minorHAnsi"/>
          <w:sz w:val="20"/>
          <w:szCs w:val="20"/>
        </w:rPr>
        <w:t xml:space="preserve">autorisation spécifique au moins </w:t>
      </w:r>
      <w:r w:rsidR="00567837" w:rsidRPr="00573DE6">
        <w:rPr>
          <w:rFonts w:cstheme="minorHAnsi"/>
          <w:sz w:val="20"/>
          <w:szCs w:val="20"/>
        </w:rPr>
        <w:t>[</w:t>
      </w:r>
      <w:r w:rsidR="003960FC" w:rsidRPr="00573DE6">
        <w:rPr>
          <w:rFonts w:cstheme="minorHAnsi"/>
          <w:sz w:val="20"/>
          <w:szCs w:val="20"/>
        </w:rPr>
        <w:t>deux</w:t>
      </w:r>
      <w:r w:rsidR="008E41AC" w:rsidRPr="00573DE6">
        <w:rPr>
          <w:rFonts w:cstheme="minorHAnsi"/>
          <w:sz w:val="20"/>
          <w:szCs w:val="20"/>
        </w:rPr>
        <w:t xml:space="preserve"> </w:t>
      </w:r>
      <w:r w:rsidR="006D489D" w:rsidRPr="00573DE6">
        <w:rPr>
          <w:rFonts w:cstheme="minorHAnsi"/>
          <w:sz w:val="20"/>
          <w:szCs w:val="20"/>
        </w:rPr>
        <w:t>mois</w:t>
      </w:r>
      <w:r w:rsidR="00567837" w:rsidRPr="00573DE6">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54F1B559" w14:textId="77777777" w:rsidR="008B0D5B" w:rsidRDefault="008B0D5B" w:rsidP="008B0D5B">
      <w:pPr>
        <w:pStyle w:val="Paragraphedeliste"/>
        <w:jc w:val="both"/>
        <w:rPr>
          <w:rFonts w:cstheme="minorHAnsi"/>
          <w:sz w:val="20"/>
          <w:szCs w:val="20"/>
        </w:rPr>
      </w:pPr>
      <w:r>
        <w:rPr>
          <w:rFonts w:cstheme="minorHAnsi"/>
          <w:sz w:val="20"/>
          <w:szCs w:val="20"/>
        </w:rPr>
        <w:t xml:space="preserve">Madame Solène </w:t>
      </w:r>
      <w:r w:rsidRPr="006B2FE8">
        <w:rPr>
          <w:rFonts w:cstheme="minorHAnsi"/>
          <w:sz w:val="20"/>
          <w:szCs w:val="20"/>
        </w:rPr>
        <w:t>Le Fur</w:t>
      </w:r>
    </w:p>
    <w:p w14:paraId="57C6F4FE" w14:textId="77777777" w:rsidR="008B0D5B" w:rsidRDefault="008B0D5B" w:rsidP="008B0D5B">
      <w:pPr>
        <w:pStyle w:val="Paragraphedeliste"/>
        <w:jc w:val="both"/>
        <w:rPr>
          <w:rFonts w:cstheme="minorHAnsi"/>
          <w:sz w:val="20"/>
          <w:szCs w:val="20"/>
        </w:rPr>
      </w:pPr>
      <w:r>
        <w:rPr>
          <w:rFonts w:cstheme="minorHAnsi"/>
          <w:sz w:val="20"/>
          <w:szCs w:val="20"/>
        </w:rPr>
        <w:t>Direction des prêts</w:t>
      </w:r>
    </w:p>
    <w:p w14:paraId="06B19010" w14:textId="77777777" w:rsidR="008B0D5B" w:rsidRDefault="008B0D5B" w:rsidP="008B0D5B">
      <w:pPr>
        <w:pStyle w:val="Paragraphedeliste"/>
        <w:jc w:val="both"/>
        <w:rPr>
          <w:rFonts w:cstheme="minorHAnsi"/>
          <w:sz w:val="20"/>
          <w:szCs w:val="20"/>
        </w:rPr>
      </w:pPr>
      <w:r>
        <w:rPr>
          <w:rFonts w:cstheme="minorHAnsi"/>
          <w:sz w:val="20"/>
          <w:szCs w:val="20"/>
        </w:rPr>
        <w:t xml:space="preserve">Directrice du programme </w:t>
      </w:r>
      <w:proofErr w:type="spellStart"/>
      <w:r>
        <w:rPr>
          <w:rFonts w:cstheme="minorHAnsi"/>
          <w:sz w:val="20"/>
          <w:szCs w:val="20"/>
        </w:rPr>
        <w:t>aquagir</w:t>
      </w:r>
      <w:proofErr w:type="spellEnd"/>
    </w:p>
    <w:p w14:paraId="64F07CD8" w14:textId="77777777" w:rsidR="008B0D5B" w:rsidRDefault="008B0D5B" w:rsidP="008B0D5B">
      <w:pPr>
        <w:pStyle w:val="Paragraphedeliste"/>
        <w:jc w:val="both"/>
        <w:rPr>
          <w:rFonts w:cstheme="minorHAnsi"/>
          <w:sz w:val="20"/>
          <w:szCs w:val="20"/>
        </w:rPr>
      </w:pPr>
      <w:r>
        <w:rPr>
          <w:rFonts w:cstheme="minorHAnsi"/>
          <w:sz w:val="20"/>
          <w:szCs w:val="20"/>
        </w:rPr>
        <w:t>72, avenue Pierre Mendes France, 75013 Paris</w:t>
      </w:r>
    </w:p>
    <w:p w14:paraId="62B47E4C" w14:textId="21AE8B61" w:rsidR="007E3273" w:rsidRDefault="00573DE6" w:rsidP="008B0D5B">
      <w:pPr>
        <w:pStyle w:val="Paragraphedeliste"/>
        <w:jc w:val="both"/>
        <w:rPr>
          <w:rStyle w:val="Lienhypertexte"/>
          <w:rFonts w:cstheme="minorHAnsi"/>
          <w:sz w:val="20"/>
          <w:szCs w:val="20"/>
        </w:rPr>
      </w:pPr>
      <w:hyperlink r:id="rId8" w:history="1">
        <w:r w:rsidR="008B0D5B" w:rsidRPr="007655DE">
          <w:rPr>
            <w:rStyle w:val="Lienhypertexte"/>
            <w:rFonts w:cstheme="minorHAnsi"/>
            <w:sz w:val="20"/>
            <w:szCs w:val="20"/>
          </w:rPr>
          <w:t>solene.lefur@caissedesdepots.fr</w:t>
        </w:r>
      </w:hyperlink>
    </w:p>
    <w:p w14:paraId="069B9F3F" w14:textId="77777777" w:rsidR="008B0D5B" w:rsidRPr="004361DE" w:rsidRDefault="008B0D5B" w:rsidP="008B0D5B">
      <w:pPr>
        <w:pStyle w:val="Paragraphedeliste"/>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 xml:space="preserve">Madame Isabelle </w:t>
      </w:r>
      <w:proofErr w:type="spellStart"/>
      <w:r w:rsidRPr="004C310E">
        <w:rPr>
          <w:rFonts w:cstheme="minorHAnsi"/>
          <w:sz w:val="20"/>
          <w:szCs w:val="20"/>
        </w:rPr>
        <w:t>Guiomar</w:t>
      </w:r>
      <w:proofErr w:type="spellEnd"/>
      <w:r w:rsidRPr="004C310E">
        <w:rPr>
          <w:rFonts w:cstheme="minorHAnsi"/>
          <w:sz w:val="20"/>
          <w:szCs w:val="20"/>
        </w:rPr>
        <w:t>,</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573DE6" w:rsidP="000272D9">
      <w:pPr>
        <w:pStyle w:val="Paragraphedeliste"/>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07939638" w14:textId="51C013C3" w:rsidR="00D26E74" w:rsidRDefault="00973269" w:rsidP="00D26E74">
            <w:pPr>
              <w:jc w:val="both"/>
              <w:rPr>
                <w:rFonts w:eastAsia="MS Mincho" w:cstheme="minorHAnsi"/>
                <w:kern w:val="2"/>
                <w:sz w:val="20"/>
                <w:szCs w:val="20"/>
                <w14:ligatures w14:val="standardContextual"/>
              </w:rPr>
            </w:pPr>
            <w:r w:rsidRPr="002779A1">
              <w:rPr>
                <w:rFonts w:eastAsia="Calibri" w:cstheme="minorHAnsi"/>
                <w:kern w:val="2"/>
                <w:sz w:val="20"/>
                <w:szCs w:val="20"/>
                <w14:ligatures w14:val="standardContextual"/>
              </w:rPr>
              <w:t xml:space="preserve">La Banque des Territoires s’est positionnée en appui de la politique publique de l’eau depuis 2019 grâce notamment à la mise en place d’un </w:t>
            </w:r>
            <w:r w:rsidR="00AC09B5">
              <w:rPr>
                <w:rFonts w:eastAsia="Calibri" w:cstheme="minorHAnsi"/>
                <w:kern w:val="2"/>
                <w:sz w:val="20"/>
                <w:szCs w:val="20"/>
                <w14:ligatures w14:val="standardContextual"/>
              </w:rPr>
              <w:t>prêt « </w:t>
            </w:r>
            <w:r w:rsidRPr="002779A1">
              <w:rPr>
                <w:rFonts w:eastAsia="Calibri" w:cstheme="minorHAnsi"/>
                <w:kern w:val="2"/>
                <w:sz w:val="20"/>
                <w:szCs w:val="20"/>
                <w14:ligatures w14:val="standardContextual"/>
              </w:rPr>
              <w:t>Aqua Prêt</w:t>
            </w:r>
            <w:r w:rsidR="00AC09B5">
              <w:rPr>
                <w:rFonts w:eastAsia="Calibri" w:cstheme="minorHAnsi"/>
                <w:kern w:val="2"/>
                <w:sz w:val="20"/>
                <w:szCs w:val="20"/>
                <w14:ligatures w14:val="standardContextual"/>
              </w:rPr>
              <w:t> »</w:t>
            </w:r>
            <w:r w:rsidRPr="002779A1">
              <w:rPr>
                <w:rFonts w:eastAsia="Calibri" w:cstheme="minorHAnsi"/>
                <w:kern w:val="2"/>
                <w:sz w:val="20"/>
                <w:szCs w:val="20"/>
                <w14:ligatures w14:val="standardContextual"/>
              </w:rPr>
              <w:t>. Au regard des enjeux</w:t>
            </w:r>
            <w:r w:rsidR="00B07705">
              <w:rPr>
                <w:rFonts w:eastAsia="Calibri" w:cstheme="minorHAnsi"/>
                <w:kern w:val="2"/>
                <w:sz w:val="20"/>
                <w:szCs w:val="20"/>
                <w14:ligatures w14:val="standardContextual"/>
              </w:rPr>
              <w:t xml:space="preserve"> et notamment la contribution de la Banque des territoires </w:t>
            </w:r>
            <w:r w:rsidR="00B07705" w:rsidRPr="00B07705">
              <w:rPr>
                <w:rFonts w:eastAsia="Calibri" w:cstheme="minorHAnsi"/>
                <w:kern w:val="2"/>
                <w:sz w:val="20"/>
                <w:szCs w:val="20"/>
                <w14:ligatures w14:val="standardContextual"/>
              </w:rPr>
              <w:t>au bilan du plan d’action pour une gestion résiliente et concertée de l’eau du gouvernement, lancé en mars 2023, ainsi qu’au bilan du plan eau DOM</w:t>
            </w:r>
            <w:r w:rsidRPr="002779A1">
              <w:rPr>
                <w:rFonts w:eastAsia="Calibri" w:cstheme="minorHAnsi"/>
                <w:kern w:val="2"/>
                <w:sz w:val="20"/>
                <w:szCs w:val="20"/>
                <w14:ligatures w14:val="standardContextual"/>
              </w:rPr>
              <w:t>, elle a donné une nouvelle dimension à son implication dans son plan stratégique 2024-2028 avec une mesure phare dédiée :</w:t>
            </w:r>
            <w:proofErr w:type="gramStart"/>
            <w:r w:rsidRPr="002779A1">
              <w:rPr>
                <w:rFonts w:eastAsia="Calibri" w:cstheme="minorHAnsi"/>
                <w:kern w:val="2"/>
                <w:sz w:val="20"/>
                <w:szCs w:val="20"/>
                <w14:ligatures w14:val="standardContextual"/>
              </w:rPr>
              <w:t xml:space="preserve"> </w:t>
            </w:r>
            <w:r w:rsidRPr="002779A1">
              <w:rPr>
                <w:rFonts w:eastAsia="Calibri" w:cstheme="minorHAnsi"/>
                <w:i/>
                <w:iCs/>
                <w:kern w:val="2"/>
                <w:sz w:val="20"/>
                <w:szCs w:val="20"/>
                <w14:ligatures w14:val="standardContextual"/>
              </w:rPr>
              <w:t>«contribuer</w:t>
            </w:r>
            <w:proofErr w:type="gramEnd"/>
            <w:r w:rsidRPr="002779A1">
              <w:rPr>
                <w:rFonts w:eastAsia="Calibri" w:cstheme="minorHAnsi"/>
                <w:i/>
                <w:iCs/>
                <w:kern w:val="2"/>
                <w:sz w:val="20"/>
                <w:szCs w:val="20"/>
                <w14:ligatures w14:val="standardContextual"/>
              </w:rPr>
              <w:t xml:space="preserve"> à préserver la ressource eau, en quantité et en qualité» </w:t>
            </w:r>
            <w:r w:rsidRPr="002779A1">
              <w:rPr>
                <w:rFonts w:eastAsia="Calibri" w:cstheme="minorHAnsi"/>
                <w:kern w:val="2"/>
                <w:sz w:val="20"/>
                <w:szCs w:val="20"/>
                <w14:ligatures w14:val="standardContextual"/>
              </w:rPr>
              <w:t xml:space="preserve">portée </w:t>
            </w:r>
            <w:r w:rsidRPr="002779A1">
              <w:rPr>
                <w:rFonts w:eastAsia="MS Mincho" w:cstheme="minorHAnsi"/>
                <w:kern w:val="2"/>
                <w:sz w:val="20"/>
                <w:szCs w:val="20"/>
                <w14:ligatures w14:val="standardContextual"/>
              </w:rPr>
              <w:t>par un nouveau programme Eau dédié</w:t>
            </w:r>
            <w:r w:rsidR="00AC09B5">
              <w:rPr>
                <w:rFonts w:eastAsia="MS Mincho" w:cstheme="minorHAnsi"/>
                <w:kern w:val="2"/>
                <w:sz w:val="20"/>
                <w:szCs w:val="20"/>
                <w14:ligatures w14:val="standardContextual"/>
              </w:rPr>
              <w:t xml:space="preserve"> (« </w:t>
            </w:r>
            <w:proofErr w:type="spellStart"/>
            <w:r w:rsidR="00AC09B5">
              <w:rPr>
                <w:rFonts w:eastAsia="MS Mincho" w:cstheme="minorHAnsi"/>
                <w:kern w:val="2"/>
                <w:sz w:val="20"/>
                <w:szCs w:val="20"/>
                <w14:ligatures w14:val="standardContextual"/>
              </w:rPr>
              <w:t>Aquagir</w:t>
            </w:r>
            <w:proofErr w:type="spellEnd"/>
            <w:r w:rsidR="00AC09B5">
              <w:rPr>
                <w:rFonts w:eastAsia="MS Mincho" w:cstheme="minorHAnsi"/>
                <w:kern w:val="2"/>
                <w:sz w:val="20"/>
                <w:szCs w:val="20"/>
                <w14:ligatures w14:val="standardContextual"/>
              </w:rPr>
              <w:t> »)</w:t>
            </w:r>
            <w:r w:rsidRPr="002779A1">
              <w:rPr>
                <w:rFonts w:eastAsia="MS Mincho" w:cstheme="minorHAnsi"/>
                <w:kern w:val="2"/>
                <w:sz w:val="20"/>
                <w:szCs w:val="20"/>
                <w14:ligatures w14:val="standardContextual"/>
              </w:rPr>
              <w:t>.</w:t>
            </w:r>
          </w:p>
          <w:p w14:paraId="73F682A4" w14:textId="77777777" w:rsidR="00AC09B5" w:rsidRPr="00AC09B5" w:rsidRDefault="00AC09B5" w:rsidP="00AC09B5">
            <w:pPr>
              <w:jc w:val="both"/>
              <w:rPr>
                <w:rFonts w:eastAsia="Calibri" w:cstheme="minorHAnsi"/>
                <w:kern w:val="2"/>
                <w:sz w:val="20"/>
                <w:szCs w:val="20"/>
                <w14:ligatures w14:val="standardContextual"/>
              </w:rPr>
            </w:pPr>
            <w:r w:rsidRPr="00AC09B5">
              <w:rPr>
                <w:rFonts w:eastAsia="Calibri" w:cstheme="minorHAnsi"/>
                <w:kern w:val="2"/>
                <w:sz w:val="20"/>
                <w:szCs w:val="20"/>
                <w14:ligatures w14:val="standardContextual"/>
              </w:rPr>
              <w:t>Ce programme s’appuie sur une large offre financière en ingénierie, prêts, investissements et consignations, ainsi que sur des outils numériques afin de créer un continuum de nature à :</w:t>
            </w:r>
          </w:p>
          <w:p w14:paraId="52FED0C7" w14:textId="77777777" w:rsidR="00AC09B5" w:rsidRPr="00AC09B5" w:rsidRDefault="00AC09B5" w:rsidP="00B07705">
            <w:pPr>
              <w:numPr>
                <w:ilvl w:val="0"/>
                <w:numId w:val="105"/>
              </w:numPr>
              <w:ind w:left="714" w:hanging="357"/>
              <w:contextualSpacing/>
              <w:jc w:val="both"/>
              <w:rPr>
                <w:rFonts w:eastAsia="Calibri" w:cstheme="minorHAnsi"/>
                <w:kern w:val="2"/>
                <w:sz w:val="20"/>
                <w:szCs w:val="20"/>
                <w14:ligatures w14:val="standardContextual"/>
              </w:rPr>
            </w:pPr>
            <w:r w:rsidRPr="00AC09B5">
              <w:rPr>
                <w:rFonts w:eastAsia="Calibri" w:cstheme="minorHAnsi"/>
                <w:kern w:val="2"/>
                <w:sz w:val="20"/>
                <w:szCs w:val="20"/>
                <w14:ligatures w14:val="standardContextual"/>
              </w:rPr>
              <w:t>Soutenir le nombre de projets initiés et élargir la nature de ces projets au regard des nécessités d’une gestion durable de l’eau ;</w:t>
            </w:r>
          </w:p>
          <w:p w14:paraId="149C3E3C" w14:textId="77777777" w:rsidR="00AC09B5" w:rsidRPr="00AC09B5" w:rsidRDefault="00AC09B5" w:rsidP="00AC09B5">
            <w:pPr>
              <w:numPr>
                <w:ilvl w:val="0"/>
                <w:numId w:val="105"/>
              </w:numPr>
              <w:spacing w:line="279" w:lineRule="auto"/>
              <w:contextualSpacing/>
              <w:jc w:val="both"/>
              <w:rPr>
                <w:rFonts w:eastAsia="Calibri" w:cstheme="minorHAnsi"/>
                <w:kern w:val="2"/>
                <w:sz w:val="20"/>
                <w:szCs w:val="20"/>
                <w14:ligatures w14:val="standardContextual"/>
              </w:rPr>
            </w:pPr>
            <w:r w:rsidRPr="00AC09B5">
              <w:rPr>
                <w:rFonts w:eastAsia="Calibri" w:cstheme="minorHAnsi"/>
                <w:kern w:val="2"/>
                <w:sz w:val="20"/>
                <w:szCs w:val="20"/>
                <w14:ligatures w14:val="standardContextual"/>
              </w:rPr>
              <w:t>Accompagner l’émergence de services innovants et performants sur l’eau ;</w:t>
            </w:r>
          </w:p>
          <w:p w14:paraId="490C3267" w14:textId="4C88844D" w:rsidR="00AC09B5" w:rsidRPr="00AC09B5" w:rsidRDefault="00AC09B5" w:rsidP="00B07705">
            <w:pPr>
              <w:numPr>
                <w:ilvl w:val="0"/>
                <w:numId w:val="105"/>
              </w:numPr>
              <w:ind w:left="714" w:hanging="357"/>
              <w:contextualSpacing/>
              <w:jc w:val="both"/>
              <w:rPr>
                <w:rFonts w:eastAsia="Calibri" w:cstheme="minorHAnsi"/>
                <w:kern w:val="2"/>
                <w:sz w:val="20"/>
                <w:szCs w:val="20"/>
                <w14:ligatures w14:val="standardContextual"/>
              </w:rPr>
            </w:pPr>
            <w:r w:rsidRPr="00AC09B5">
              <w:rPr>
                <w:rFonts w:eastAsia="Calibri" w:cstheme="minorHAnsi"/>
                <w:kern w:val="2"/>
                <w:sz w:val="20"/>
                <w:szCs w:val="20"/>
                <w14:ligatures w14:val="standardContextual"/>
              </w:rPr>
              <w:t>Financer un nombre croissant de projets</w:t>
            </w:r>
            <w:r w:rsidR="00B07705">
              <w:rPr>
                <w:rFonts w:eastAsia="Calibri" w:cstheme="minorHAnsi"/>
                <w:kern w:val="2"/>
                <w:sz w:val="20"/>
                <w:szCs w:val="20"/>
                <w14:ligatures w14:val="standardContextual"/>
              </w:rPr>
              <w:t xml:space="preserve"> (objectif d’accompagner et financer 1.600 projets d’ici 2028)</w:t>
            </w:r>
            <w:r w:rsidRPr="00AC09B5">
              <w:rPr>
                <w:rFonts w:eastAsia="Calibri" w:cstheme="minorHAnsi"/>
                <w:kern w:val="2"/>
                <w:sz w:val="20"/>
                <w:szCs w:val="20"/>
                <w14:ligatures w14:val="standardContextual"/>
              </w:rPr>
              <w:t>.</w:t>
            </w:r>
          </w:p>
          <w:p w14:paraId="470A1184" w14:textId="77777777" w:rsidR="00B07705" w:rsidRPr="00B07705" w:rsidRDefault="00B07705" w:rsidP="00B07705">
            <w:pPr>
              <w:jc w:val="both"/>
              <w:rPr>
                <w:rFonts w:eastAsia="Calibri" w:cstheme="minorHAnsi"/>
                <w:kern w:val="2"/>
                <w:sz w:val="20"/>
                <w:szCs w:val="20"/>
                <w14:ligatures w14:val="standardContextual"/>
              </w:rPr>
            </w:pPr>
            <w:r w:rsidRPr="00B07705">
              <w:rPr>
                <w:rFonts w:eastAsia="Calibri" w:cstheme="minorHAnsi"/>
                <w:kern w:val="2"/>
                <w:sz w:val="20"/>
                <w:szCs w:val="20"/>
                <w14:ligatures w14:val="standardContextual"/>
              </w:rPr>
              <w:t>En complément de son action de financement, la Banque des Territoires :</w:t>
            </w:r>
          </w:p>
          <w:p w14:paraId="684EC918" w14:textId="4A9B90BF" w:rsidR="00B07705" w:rsidRPr="00B07705" w:rsidRDefault="00B07705" w:rsidP="00B07705">
            <w:pPr>
              <w:numPr>
                <w:ilvl w:val="0"/>
                <w:numId w:val="105"/>
              </w:numPr>
              <w:ind w:left="714" w:hanging="357"/>
              <w:contextualSpacing/>
              <w:jc w:val="both"/>
              <w:rPr>
                <w:rFonts w:eastAsia="Calibri" w:cstheme="minorHAnsi"/>
                <w:kern w:val="2"/>
                <w:sz w:val="20"/>
                <w:szCs w:val="20"/>
                <w14:ligatures w14:val="standardContextual"/>
              </w:rPr>
            </w:pPr>
            <w:r w:rsidRPr="00B07705">
              <w:rPr>
                <w:rFonts w:eastAsia="Calibri" w:cstheme="minorHAnsi"/>
                <w:kern w:val="2"/>
                <w:sz w:val="20"/>
                <w:szCs w:val="20"/>
                <w14:ligatures w14:val="standardContextual"/>
              </w:rPr>
              <w:t>Propose depuis juillet 2023, une plateforme digitale</w:t>
            </w:r>
            <w:r>
              <w:rPr>
                <w:rFonts w:eastAsia="Calibri" w:cstheme="minorHAnsi"/>
                <w:kern w:val="2"/>
                <w:sz w:val="20"/>
                <w:szCs w:val="20"/>
                <w14:ligatures w14:val="standardContextual"/>
              </w:rPr>
              <w:t xml:space="preserve"> « aquagir.fr </w:t>
            </w:r>
            <w:r w:rsidRPr="00B07705">
              <w:rPr>
                <w:rFonts w:eastAsia="Calibri" w:cstheme="minorHAnsi"/>
                <w:kern w:val="2"/>
                <w:sz w:val="20"/>
                <w:szCs w:val="20"/>
                <w14:ligatures w14:val="standardContextual"/>
              </w:rPr>
              <w:t>pour faciliter la prise de décision et le passage à l’action des collectivités.</w:t>
            </w:r>
          </w:p>
          <w:p w14:paraId="31859D3F" w14:textId="062D36EF" w:rsidR="00B07705" w:rsidRPr="00B07705" w:rsidRDefault="00B07705" w:rsidP="00B07705">
            <w:pPr>
              <w:numPr>
                <w:ilvl w:val="0"/>
                <w:numId w:val="105"/>
              </w:numPr>
              <w:ind w:left="714" w:hanging="357"/>
              <w:contextualSpacing/>
              <w:jc w:val="both"/>
              <w:rPr>
                <w:rFonts w:eastAsia="Calibri" w:cstheme="minorHAnsi"/>
                <w:kern w:val="2"/>
                <w:sz w:val="20"/>
                <w:szCs w:val="20"/>
                <w14:ligatures w14:val="standardContextual"/>
              </w:rPr>
            </w:pPr>
            <w:r w:rsidRPr="00B07705">
              <w:rPr>
                <w:rFonts w:eastAsia="Calibri" w:cstheme="minorHAnsi"/>
                <w:kern w:val="2"/>
                <w:sz w:val="20"/>
                <w:szCs w:val="20"/>
                <w14:ligatures w14:val="standardContextual"/>
              </w:rPr>
              <w:t xml:space="preserve">Structure des projets autour de la data </w:t>
            </w:r>
            <w:r>
              <w:rPr>
                <w:rFonts w:eastAsia="Calibri" w:cstheme="minorHAnsi"/>
                <w:kern w:val="2"/>
                <w:sz w:val="20"/>
                <w:szCs w:val="20"/>
                <w14:ligatures w14:val="standardContextual"/>
              </w:rPr>
              <w:t>via</w:t>
            </w:r>
            <w:r w:rsidRPr="00B07705">
              <w:rPr>
                <w:rFonts w:eastAsia="Calibri" w:cstheme="minorHAnsi"/>
                <w:kern w:val="2"/>
                <w:sz w:val="20"/>
                <w:szCs w:val="20"/>
                <w14:ligatures w14:val="standardContextual"/>
              </w:rPr>
              <w:t xml:space="preserve"> </w:t>
            </w:r>
            <w:r>
              <w:rPr>
                <w:rFonts w:eastAsia="Calibri" w:cstheme="minorHAnsi"/>
                <w:kern w:val="2"/>
                <w:sz w:val="20"/>
                <w:szCs w:val="20"/>
                <w14:ligatures w14:val="standardContextual"/>
              </w:rPr>
              <w:t xml:space="preserve">un </w:t>
            </w:r>
            <w:r w:rsidRPr="00B07705">
              <w:rPr>
                <w:rFonts w:eastAsia="Calibri" w:cstheme="minorHAnsi"/>
                <w:kern w:val="2"/>
                <w:sz w:val="20"/>
                <w:szCs w:val="20"/>
                <w14:ligatures w14:val="standardContextual"/>
              </w:rPr>
              <w:t>outil numérique innovant</w:t>
            </w:r>
            <w:r>
              <w:rPr>
                <w:rFonts w:eastAsia="Calibri" w:cstheme="minorHAnsi"/>
                <w:kern w:val="2"/>
                <w:sz w:val="20"/>
                <w:szCs w:val="20"/>
                <w14:ligatures w14:val="standardContextual"/>
              </w:rPr>
              <w:t> « </w:t>
            </w:r>
            <w:proofErr w:type="spellStart"/>
            <w:r>
              <w:rPr>
                <w:rFonts w:eastAsia="Calibri" w:cstheme="minorHAnsi"/>
                <w:kern w:val="2"/>
                <w:sz w:val="20"/>
                <w:szCs w:val="20"/>
                <w14:ligatures w14:val="standardContextual"/>
              </w:rPr>
              <w:t>aquarepere</w:t>
            </w:r>
            <w:proofErr w:type="spellEnd"/>
            <w:r>
              <w:rPr>
                <w:rFonts w:eastAsia="Calibri" w:cstheme="minorHAnsi"/>
                <w:kern w:val="2"/>
                <w:sz w:val="20"/>
                <w:szCs w:val="20"/>
                <w14:ligatures w14:val="standardContextual"/>
              </w:rPr>
              <w:t> »</w:t>
            </w:r>
            <w:r w:rsidRPr="00B07705">
              <w:rPr>
                <w:rFonts w:eastAsia="Calibri" w:cstheme="minorHAnsi"/>
                <w:kern w:val="2"/>
                <w:sz w:val="20"/>
                <w:szCs w:val="20"/>
                <w14:ligatures w14:val="standardContextual"/>
              </w:rPr>
              <w:t xml:space="preserve"> pour faciliter la prise de décision et la planification par les élus locaux et leurs services techniques de la gestion de l’eau. </w:t>
            </w:r>
          </w:p>
          <w:p w14:paraId="6CCF9E3D" w14:textId="77777777" w:rsidR="00AC09B5" w:rsidRDefault="00AC09B5" w:rsidP="00D26E74">
            <w:pPr>
              <w:jc w:val="both"/>
              <w:rPr>
                <w:rFonts w:eastAsia="MS Mincho" w:cstheme="minorHAnsi"/>
                <w:kern w:val="2"/>
                <w:sz w:val="20"/>
                <w:szCs w:val="20"/>
                <w14:ligatures w14:val="standardContextual"/>
              </w:rPr>
            </w:pPr>
          </w:p>
          <w:p w14:paraId="34E147CF" w14:textId="1A175808" w:rsidR="00B07705" w:rsidRDefault="00B07705" w:rsidP="00D26E74">
            <w:pPr>
              <w:jc w:val="both"/>
              <w:rPr>
                <w:rFonts w:eastAsia="MS Mincho" w:cstheme="minorHAnsi"/>
                <w:kern w:val="2"/>
                <w:sz w:val="20"/>
                <w:szCs w:val="20"/>
                <w14:ligatures w14:val="standardContextual"/>
              </w:rPr>
            </w:pPr>
            <w:r>
              <w:rPr>
                <w:rFonts w:eastAsia="MS Mincho" w:cstheme="minorHAnsi"/>
                <w:kern w:val="2"/>
                <w:sz w:val="20"/>
                <w:szCs w:val="20"/>
                <w14:ligatures w14:val="standardContextual"/>
              </w:rPr>
              <w:t>Cependant, la Banque des territoires a besoin de faire appel à un prestataire pour :</w:t>
            </w:r>
          </w:p>
          <w:p w14:paraId="1FBB2D12" w14:textId="77777777" w:rsidR="002047BE" w:rsidRDefault="00B07705" w:rsidP="00761A7A">
            <w:pPr>
              <w:pStyle w:val="Paragraphedeliste"/>
              <w:numPr>
                <w:ilvl w:val="0"/>
                <w:numId w:val="34"/>
              </w:numPr>
              <w:jc w:val="both"/>
              <w:rPr>
                <w:rFonts w:ascii="Calibri" w:eastAsia="Calibri" w:hAnsi="Calibri" w:cs="Calibri"/>
                <w:sz w:val="20"/>
                <w:szCs w:val="20"/>
              </w:rPr>
            </w:pPr>
            <w:r w:rsidRPr="00B07705">
              <w:rPr>
                <w:rFonts w:eastAsia="MS Mincho" w:cstheme="minorHAnsi"/>
                <w:kern w:val="2"/>
                <w:sz w:val="20"/>
                <w:szCs w:val="20"/>
                <w14:ligatures w14:val="standardContextual"/>
              </w:rPr>
              <w:t xml:space="preserve">L’appuyer </w:t>
            </w:r>
            <w:r w:rsidR="00D26E74" w:rsidRPr="00B07705">
              <w:rPr>
                <w:rFonts w:ascii="Calibri" w:eastAsia="Calibri" w:hAnsi="Calibri" w:cs="Calibri"/>
                <w:sz w:val="20"/>
                <w:szCs w:val="20"/>
              </w:rPr>
              <w:t xml:space="preserve">pour l’animation nationale et territoriale du programme </w:t>
            </w:r>
            <w:proofErr w:type="spellStart"/>
            <w:r w:rsidR="00D26E74" w:rsidRPr="00B07705">
              <w:rPr>
                <w:rFonts w:ascii="Calibri" w:eastAsia="Calibri" w:hAnsi="Calibri" w:cs="Calibri"/>
                <w:sz w:val="20"/>
                <w:szCs w:val="20"/>
              </w:rPr>
              <w:t>aquagir</w:t>
            </w:r>
            <w:proofErr w:type="spellEnd"/>
            <w:r w:rsidR="002047BE">
              <w:rPr>
                <w:rFonts w:ascii="Calibri" w:eastAsia="Calibri" w:hAnsi="Calibri" w:cs="Calibri"/>
                <w:sz w:val="20"/>
                <w:szCs w:val="20"/>
              </w:rPr>
              <w:t xml:space="preserve"> (lot 1 de la prestation),</w:t>
            </w:r>
          </w:p>
          <w:p w14:paraId="3740FD7A" w14:textId="1738A96B" w:rsidR="00D26E74" w:rsidRPr="00B07705" w:rsidRDefault="00780BCA" w:rsidP="00761A7A">
            <w:pPr>
              <w:pStyle w:val="Paragraphedeliste"/>
              <w:numPr>
                <w:ilvl w:val="0"/>
                <w:numId w:val="34"/>
              </w:numPr>
              <w:jc w:val="both"/>
              <w:rPr>
                <w:rFonts w:ascii="Calibri" w:eastAsia="Calibri" w:hAnsi="Calibri" w:cs="Calibri"/>
                <w:sz w:val="20"/>
                <w:szCs w:val="20"/>
              </w:rPr>
            </w:pPr>
            <w:r w:rsidRPr="00B07705">
              <w:rPr>
                <w:rFonts w:ascii="Calibri" w:eastAsia="Calibri" w:hAnsi="Calibri" w:cs="Calibri"/>
                <w:sz w:val="20"/>
                <w:szCs w:val="20"/>
              </w:rPr>
              <w:t>L</w:t>
            </w:r>
            <w:r w:rsidR="002047BE">
              <w:rPr>
                <w:rFonts w:ascii="Calibri" w:eastAsia="Calibri" w:hAnsi="Calibri" w:cs="Calibri"/>
                <w:sz w:val="20"/>
                <w:szCs w:val="20"/>
              </w:rPr>
              <w:t>’appuyer</w:t>
            </w:r>
            <w:r w:rsidR="00D26E74" w:rsidRPr="00B07705">
              <w:rPr>
                <w:rFonts w:ascii="Calibri" w:eastAsia="Calibri" w:hAnsi="Calibri" w:cs="Calibri"/>
                <w:sz w:val="20"/>
                <w:szCs w:val="20"/>
              </w:rPr>
              <w:t xml:space="preserve"> pour la production et l’éditorialisation de contenus permettant de soutenir les porteurs de projet et de valoriser le programme et les projets associés</w:t>
            </w:r>
            <w:r w:rsidR="002047BE">
              <w:rPr>
                <w:rFonts w:ascii="Calibri" w:eastAsia="Calibri" w:hAnsi="Calibri" w:cs="Calibri"/>
                <w:sz w:val="20"/>
                <w:szCs w:val="20"/>
              </w:rPr>
              <w:t xml:space="preserve"> (lot 2 de la prestation)</w:t>
            </w:r>
            <w:r w:rsidRPr="00B07705">
              <w:rPr>
                <w:rFonts w:ascii="Calibri" w:eastAsia="Calibri" w:hAnsi="Calibri" w:cs="Calibri"/>
                <w:sz w:val="20"/>
                <w:szCs w:val="20"/>
              </w:rPr>
              <w:t>.</w:t>
            </w:r>
            <w:r w:rsidR="00D26E74" w:rsidRPr="00B07705">
              <w:rPr>
                <w:rFonts w:ascii="Calibri" w:eastAsia="Calibri" w:hAnsi="Calibri" w:cs="Calibri"/>
                <w:sz w:val="20"/>
                <w:szCs w:val="20"/>
              </w:rPr>
              <w:t xml:space="preserve"> </w:t>
            </w:r>
          </w:p>
          <w:p w14:paraId="611302F1" w14:textId="77777777" w:rsidR="00540E41" w:rsidRPr="002779A1" w:rsidRDefault="00540E41" w:rsidP="00540E41">
            <w:pPr>
              <w:pStyle w:val="Paragraphedeliste"/>
              <w:rPr>
                <w:rFonts w:ascii="Calibri" w:eastAsia="Calibri" w:hAnsi="Calibri" w:cs="Calibri"/>
                <w:color w:val="FF0000"/>
                <w:sz w:val="20"/>
                <w:szCs w:val="20"/>
              </w:rPr>
            </w:pPr>
          </w:p>
          <w:p w14:paraId="68486F27" w14:textId="1DC37935" w:rsidR="00D26E74" w:rsidRPr="004C4435" w:rsidRDefault="004C4435" w:rsidP="00540E41">
            <w:pPr>
              <w:jc w:val="both"/>
              <w:rPr>
                <w:rFonts w:cstheme="minorHAnsi"/>
                <w:bCs/>
                <w:sz w:val="20"/>
                <w:szCs w:val="20"/>
              </w:rPr>
            </w:pPr>
            <w:r>
              <w:rPr>
                <w:rFonts w:cstheme="minorHAnsi"/>
                <w:bCs/>
                <w:sz w:val="20"/>
                <w:szCs w:val="20"/>
              </w:rPr>
              <w:t>Le prestataire se verra t</w:t>
            </w:r>
            <w:r w:rsidR="00540E41" w:rsidRPr="002779A1">
              <w:rPr>
                <w:rFonts w:cstheme="minorHAnsi"/>
                <w:bCs/>
                <w:sz w:val="20"/>
                <w:szCs w:val="20"/>
              </w:rPr>
              <w:t>en</w:t>
            </w:r>
            <w:r>
              <w:rPr>
                <w:rFonts w:cstheme="minorHAnsi"/>
                <w:bCs/>
                <w:sz w:val="20"/>
                <w:szCs w:val="20"/>
              </w:rPr>
              <w:t>ir</w:t>
            </w:r>
            <w:r w:rsidR="00540E41" w:rsidRPr="002779A1">
              <w:rPr>
                <w:rFonts w:cstheme="minorHAnsi"/>
                <w:bCs/>
                <w:sz w:val="20"/>
                <w:szCs w:val="20"/>
              </w:rPr>
              <w:t xml:space="preserve"> à jour de</w:t>
            </w:r>
            <w:r>
              <w:rPr>
                <w:rFonts w:cstheme="minorHAnsi"/>
                <w:bCs/>
                <w:sz w:val="20"/>
                <w:szCs w:val="20"/>
              </w:rPr>
              <w:t>s</w:t>
            </w:r>
            <w:r w:rsidR="00540E41" w:rsidRPr="002779A1">
              <w:rPr>
                <w:rFonts w:cstheme="minorHAnsi"/>
                <w:bCs/>
                <w:sz w:val="20"/>
                <w:szCs w:val="20"/>
              </w:rPr>
              <w:t xml:space="preserve"> listes de contributeurs à des groupes de travail ou à des évènements</w:t>
            </w:r>
            <w:r>
              <w:rPr>
                <w:rFonts w:cstheme="minorHAnsi"/>
                <w:bCs/>
                <w:sz w:val="20"/>
                <w:szCs w:val="20"/>
              </w:rPr>
              <w:t>, prendre</w:t>
            </w:r>
            <w:r w:rsidR="00540E41" w:rsidRPr="002779A1">
              <w:rPr>
                <w:rFonts w:cstheme="minorHAnsi"/>
                <w:bCs/>
                <w:sz w:val="20"/>
                <w:szCs w:val="20"/>
              </w:rPr>
              <w:t xml:space="preserve"> de</w:t>
            </w:r>
            <w:r>
              <w:rPr>
                <w:rFonts w:cstheme="minorHAnsi"/>
                <w:bCs/>
                <w:sz w:val="20"/>
                <w:szCs w:val="20"/>
              </w:rPr>
              <w:t>s</w:t>
            </w:r>
            <w:r w:rsidR="00540E41" w:rsidRPr="002779A1">
              <w:rPr>
                <w:rFonts w:cstheme="minorHAnsi"/>
                <w:bCs/>
                <w:sz w:val="20"/>
                <w:szCs w:val="20"/>
              </w:rPr>
              <w:t xml:space="preserve"> rendez-vous de</w:t>
            </w:r>
            <w:r w:rsidR="000C21AB">
              <w:rPr>
                <w:rFonts w:cstheme="minorHAnsi"/>
                <w:bCs/>
                <w:sz w:val="20"/>
                <w:szCs w:val="20"/>
              </w:rPr>
              <w:t xml:space="preserve">s </w:t>
            </w:r>
            <w:r w:rsidR="00540E41" w:rsidRPr="002779A1">
              <w:rPr>
                <w:rFonts w:cstheme="minorHAnsi"/>
                <w:bCs/>
                <w:sz w:val="20"/>
                <w:szCs w:val="20"/>
              </w:rPr>
              <w:t>personne</w:t>
            </w:r>
            <w:r w:rsidR="000C21AB">
              <w:rPr>
                <w:rFonts w:cstheme="minorHAnsi"/>
                <w:bCs/>
                <w:sz w:val="20"/>
                <w:szCs w:val="20"/>
              </w:rPr>
              <w:t>s</w:t>
            </w:r>
            <w:r w:rsidR="00540E41" w:rsidRPr="002779A1">
              <w:rPr>
                <w:rFonts w:cstheme="minorHAnsi"/>
                <w:bCs/>
                <w:sz w:val="20"/>
                <w:szCs w:val="20"/>
              </w:rPr>
              <w:t xml:space="preserve"> à interviewer et réalis</w:t>
            </w:r>
            <w:r>
              <w:rPr>
                <w:rFonts w:cstheme="minorHAnsi"/>
                <w:bCs/>
                <w:sz w:val="20"/>
                <w:szCs w:val="20"/>
              </w:rPr>
              <w:t>er</w:t>
            </w:r>
            <w:r w:rsidR="00540E41" w:rsidRPr="002779A1">
              <w:rPr>
                <w:rFonts w:cstheme="minorHAnsi"/>
                <w:bCs/>
                <w:sz w:val="20"/>
                <w:szCs w:val="20"/>
              </w:rPr>
              <w:t xml:space="preserve"> d’interview</w:t>
            </w:r>
            <w:r>
              <w:rPr>
                <w:rFonts w:cstheme="minorHAnsi"/>
                <w:bCs/>
                <w:sz w:val="20"/>
                <w:szCs w:val="20"/>
              </w:rPr>
              <w:t>.</w:t>
            </w:r>
          </w:p>
          <w:p w14:paraId="1CAD98C2" w14:textId="214D9FB0" w:rsidR="00A83124" w:rsidRPr="00D92205" w:rsidRDefault="00A83124" w:rsidP="00A83124">
            <w:pPr>
              <w:jc w:val="both"/>
              <w:rPr>
                <w:rFonts w:cstheme="minorHAnsi"/>
                <w:b/>
                <w:color w:val="FF0000"/>
                <w:sz w:val="20"/>
                <w:szCs w:val="20"/>
                <w:highlight w:val="yellow"/>
                <w:u w:val="single"/>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F59948D" w14:textId="77777777" w:rsidR="00103476" w:rsidRDefault="001B2F1C" w:rsidP="00452029">
            <w:pPr>
              <w:jc w:val="both"/>
              <w:rPr>
                <w:rFonts w:cstheme="minorHAnsi"/>
                <w:sz w:val="20"/>
                <w:szCs w:val="20"/>
                <w:u w:val="single"/>
              </w:rPr>
            </w:pPr>
            <w:r>
              <w:rPr>
                <w:rFonts w:cstheme="minorHAnsi"/>
                <w:sz w:val="20"/>
                <w:szCs w:val="20"/>
                <w:u w:val="single"/>
              </w:rPr>
              <w:t xml:space="preserve">BDT 05 : </w:t>
            </w:r>
            <w:r w:rsidRPr="001B2F1C">
              <w:rPr>
                <w:rFonts w:cstheme="minorHAnsi"/>
                <w:sz w:val="20"/>
                <w:szCs w:val="20"/>
                <w:u w:val="single"/>
              </w:rPr>
              <w:t>Satisfaire les besoins de financement</w:t>
            </w:r>
          </w:p>
          <w:p w14:paraId="68634904" w14:textId="505BD047" w:rsidR="001B2F1C" w:rsidRPr="001B2F1C" w:rsidRDefault="001B2F1C" w:rsidP="00452029">
            <w:pPr>
              <w:jc w:val="both"/>
              <w:rPr>
                <w:rFonts w:cstheme="minorHAnsi"/>
                <w:sz w:val="20"/>
                <w:szCs w:val="20"/>
              </w:rPr>
            </w:pPr>
            <w:r w:rsidRPr="001B2F1C">
              <w:rPr>
                <w:rFonts w:cstheme="minorHAnsi"/>
                <w:sz w:val="20"/>
                <w:szCs w:val="20"/>
              </w:rPr>
              <w:t xml:space="preserve">Sous finalité : Gérer les programmes nationaux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5AE1719D" w14:textId="168468B1" w:rsidR="00E2162B" w:rsidRPr="007D287D" w:rsidRDefault="00E2162B" w:rsidP="002047BE">
            <w:pPr>
              <w:pStyle w:val="Paragraphedeliste"/>
              <w:numPr>
                <w:ilvl w:val="0"/>
                <w:numId w:val="103"/>
              </w:numPr>
              <w:ind w:left="341"/>
              <w:jc w:val="both"/>
              <w:rPr>
                <w:rFonts w:cstheme="minorHAnsi"/>
                <w:bCs/>
                <w:i/>
                <w:sz w:val="20"/>
                <w:szCs w:val="20"/>
              </w:rPr>
            </w:pPr>
            <w:r w:rsidRPr="007D287D">
              <w:rPr>
                <w:rFonts w:cstheme="minorHAnsi"/>
                <w:bCs/>
                <w:sz w:val="20"/>
                <w:szCs w:val="20"/>
              </w:rPr>
              <w:t>Données de contact :  nom, prénom,</w:t>
            </w:r>
          </w:p>
          <w:p w14:paraId="291D7BCF" w14:textId="37B773F1" w:rsidR="00E2162B" w:rsidRPr="00E73D8F" w:rsidRDefault="00E2162B" w:rsidP="002047BE">
            <w:pPr>
              <w:pStyle w:val="Paragraphedeliste"/>
              <w:numPr>
                <w:ilvl w:val="0"/>
                <w:numId w:val="103"/>
              </w:numPr>
              <w:ind w:left="341"/>
              <w:jc w:val="both"/>
              <w:rPr>
                <w:rFonts w:cstheme="minorHAnsi"/>
                <w:bCs/>
                <w:i/>
                <w:sz w:val="20"/>
                <w:szCs w:val="20"/>
              </w:rPr>
            </w:pPr>
            <w:r w:rsidRPr="00E73D8F">
              <w:rPr>
                <w:rFonts w:cstheme="minorHAnsi"/>
                <w:bCs/>
                <w:sz w:val="20"/>
                <w:szCs w:val="20"/>
              </w:rPr>
              <w:t xml:space="preserve">Données professionnelles : adresse </w:t>
            </w:r>
            <w:proofErr w:type="gramStart"/>
            <w:r w:rsidRPr="00E73D8F">
              <w:rPr>
                <w:rFonts w:cstheme="minorHAnsi"/>
                <w:bCs/>
                <w:sz w:val="20"/>
                <w:szCs w:val="20"/>
              </w:rPr>
              <w:t>mail</w:t>
            </w:r>
            <w:proofErr w:type="gramEnd"/>
            <w:r w:rsidRPr="00E73D8F">
              <w:rPr>
                <w:rFonts w:cstheme="minorHAnsi"/>
                <w:bCs/>
                <w:sz w:val="20"/>
                <w:szCs w:val="20"/>
              </w:rPr>
              <w:t xml:space="preserve"> pro</w:t>
            </w:r>
            <w:r w:rsidR="00E73D8F">
              <w:rPr>
                <w:rFonts w:cstheme="minorHAnsi"/>
                <w:bCs/>
                <w:sz w:val="20"/>
                <w:szCs w:val="20"/>
              </w:rPr>
              <w:t>fessionnel</w:t>
            </w:r>
            <w:r w:rsidR="00D927AF">
              <w:rPr>
                <w:rFonts w:cstheme="minorHAnsi"/>
                <w:bCs/>
                <w:sz w:val="20"/>
                <w:szCs w:val="20"/>
              </w:rPr>
              <w:t xml:space="preserve">, </w:t>
            </w:r>
            <w:r w:rsidRPr="00E73D8F">
              <w:rPr>
                <w:rFonts w:cstheme="minorHAnsi"/>
                <w:bCs/>
                <w:sz w:val="20"/>
                <w:szCs w:val="20"/>
              </w:rPr>
              <w:t>coordonnées téléphoniques pro</w:t>
            </w:r>
            <w:r w:rsidR="00D927AF">
              <w:rPr>
                <w:rFonts w:cstheme="minorHAnsi"/>
                <w:bCs/>
                <w:sz w:val="20"/>
                <w:szCs w:val="20"/>
              </w:rPr>
              <w:t>fessionnel</w:t>
            </w:r>
            <w:r w:rsidRPr="00E73D8F">
              <w:rPr>
                <w:rFonts w:cstheme="minorHAnsi"/>
                <w:bCs/>
                <w:sz w:val="20"/>
                <w:szCs w:val="20"/>
              </w:rPr>
              <w:t>, fonction, adresse postale</w:t>
            </w:r>
          </w:p>
          <w:p w14:paraId="19F3516A" w14:textId="139E49DD" w:rsidR="00E2162B" w:rsidRPr="00E73D8F" w:rsidRDefault="00E2162B" w:rsidP="002047BE">
            <w:pPr>
              <w:pStyle w:val="Paragraphedeliste"/>
              <w:numPr>
                <w:ilvl w:val="0"/>
                <w:numId w:val="103"/>
              </w:numPr>
              <w:ind w:left="341"/>
              <w:jc w:val="both"/>
              <w:rPr>
                <w:rFonts w:cstheme="minorHAnsi"/>
                <w:bCs/>
                <w:i/>
                <w:sz w:val="20"/>
                <w:szCs w:val="20"/>
              </w:rPr>
            </w:pPr>
            <w:r w:rsidRPr="00E73D8F">
              <w:rPr>
                <w:rFonts w:cstheme="minorHAnsi"/>
                <w:bCs/>
                <w:iCs/>
                <w:sz w:val="20"/>
                <w:szCs w:val="20"/>
              </w:rPr>
              <w:t xml:space="preserve">Verbatims </w:t>
            </w:r>
          </w:p>
          <w:p w14:paraId="56665DC4" w14:textId="2E74C940" w:rsidR="00103476" w:rsidRPr="009D79AF" w:rsidRDefault="00103476" w:rsidP="00D927AF">
            <w:pPr>
              <w:pStyle w:val="Paragraphedeliste"/>
              <w:jc w:val="both"/>
              <w:rPr>
                <w:rFonts w:cstheme="minorHAnsi"/>
                <w:bCs/>
                <w:i/>
                <w:sz w:val="18"/>
                <w:szCs w:val="18"/>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084B199C" w14:textId="77777777" w:rsidR="00383261" w:rsidRDefault="00383261" w:rsidP="002047BE">
            <w:pPr>
              <w:pStyle w:val="Paragraphedeliste"/>
              <w:numPr>
                <w:ilvl w:val="0"/>
                <w:numId w:val="102"/>
              </w:numPr>
              <w:ind w:left="341"/>
              <w:jc w:val="both"/>
              <w:rPr>
                <w:rFonts w:cstheme="minorHAnsi"/>
                <w:sz w:val="20"/>
                <w:szCs w:val="20"/>
              </w:rPr>
            </w:pPr>
            <w:r w:rsidRPr="00383261">
              <w:rPr>
                <w:rFonts w:cstheme="minorHAnsi"/>
                <w:sz w:val="20"/>
                <w:szCs w:val="20"/>
              </w:rPr>
              <w:t xml:space="preserve">Elus, </w:t>
            </w:r>
          </w:p>
          <w:p w14:paraId="05AF8FD5" w14:textId="3AA329D3" w:rsidR="00383261" w:rsidRPr="004D1E26" w:rsidRDefault="00383261" w:rsidP="002047BE">
            <w:pPr>
              <w:pStyle w:val="Paragraphedeliste"/>
              <w:numPr>
                <w:ilvl w:val="0"/>
                <w:numId w:val="102"/>
              </w:numPr>
              <w:ind w:left="341"/>
              <w:jc w:val="both"/>
              <w:rPr>
                <w:rFonts w:cstheme="minorHAnsi"/>
                <w:sz w:val="20"/>
                <w:szCs w:val="20"/>
              </w:rPr>
            </w:pPr>
            <w:r w:rsidRPr="004D1E26">
              <w:rPr>
                <w:rFonts w:cstheme="minorHAnsi"/>
                <w:sz w:val="20"/>
                <w:szCs w:val="20"/>
              </w:rPr>
              <w:t>Porteurs de projets</w:t>
            </w:r>
            <w:r w:rsidR="00AE559F" w:rsidRPr="004D1E26">
              <w:rPr>
                <w:rFonts w:cstheme="minorHAnsi"/>
                <w:sz w:val="20"/>
                <w:szCs w:val="20"/>
              </w:rPr>
              <w:t> </w:t>
            </w:r>
          </w:p>
          <w:p w14:paraId="1CD07328" w14:textId="18306694" w:rsidR="00383261" w:rsidRDefault="00383261" w:rsidP="002047BE">
            <w:pPr>
              <w:pStyle w:val="Paragraphedeliste"/>
              <w:numPr>
                <w:ilvl w:val="0"/>
                <w:numId w:val="102"/>
              </w:numPr>
              <w:ind w:left="341"/>
              <w:jc w:val="both"/>
              <w:rPr>
                <w:rFonts w:cstheme="minorHAnsi"/>
                <w:sz w:val="20"/>
                <w:szCs w:val="20"/>
              </w:rPr>
            </w:pPr>
            <w:r w:rsidRPr="00383261">
              <w:rPr>
                <w:rFonts w:cstheme="minorHAnsi"/>
                <w:sz w:val="20"/>
                <w:szCs w:val="20"/>
              </w:rPr>
              <w:t xml:space="preserve">Experts </w:t>
            </w:r>
          </w:p>
          <w:p w14:paraId="00DDB628" w14:textId="5486867D" w:rsidR="00383261" w:rsidRPr="00E73D8F" w:rsidRDefault="00383261" w:rsidP="002047BE">
            <w:pPr>
              <w:pStyle w:val="Paragraphedeliste"/>
              <w:numPr>
                <w:ilvl w:val="0"/>
                <w:numId w:val="102"/>
              </w:numPr>
              <w:ind w:left="341"/>
              <w:jc w:val="both"/>
              <w:rPr>
                <w:rFonts w:cstheme="minorHAnsi"/>
                <w:sz w:val="20"/>
                <w:szCs w:val="20"/>
              </w:rPr>
            </w:pPr>
            <w:r w:rsidRPr="00383261">
              <w:rPr>
                <w:rFonts w:cstheme="minorHAnsi"/>
                <w:sz w:val="20"/>
                <w:szCs w:val="20"/>
              </w:rPr>
              <w:t>Collaborateur</w:t>
            </w:r>
            <w:r w:rsidR="002047BE">
              <w:rPr>
                <w:rFonts w:cstheme="minorHAnsi"/>
                <w:sz w:val="20"/>
                <w:szCs w:val="20"/>
              </w:rPr>
              <w:t>s</w:t>
            </w:r>
            <w:r w:rsidRPr="00383261">
              <w:rPr>
                <w:rFonts w:cstheme="minorHAnsi"/>
                <w:sz w:val="20"/>
                <w:szCs w:val="20"/>
              </w:rPr>
              <w:t xml:space="preserve"> de la CDC</w:t>
            </w:r>
          </w:p>
          <w:p w14:paraId="608687F4" w14:textId="106DBC51" w:rsidR="00103476" w:rsidRPr="00452029" w:rsidRDefault="00103476" w:rsidP="00452029">
            <w:pPr>
              <w:jc w:val="both"/>
              <w:rPr>
                <w:rFonts w:cstheme="minorHAnsi"/>
                <w:sz w:val="20"/>
                <w:szCs w:val="20"/>
                <w:u w:val="single"/>
              </w:rPr>
            </w:pP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2BB9BCF" w14:textId="3DC6BF56" w:rsidR="00103476" w:rsidRPr="0003580F" w:rsidRDefault="0003580F" w:rsidP="00E067FE">
            <w:pPr>
              <w:jc w:val="both"/>
              <w:rPr>
                <w:rFonts w:cstheme="minorHAnsi"/>
                <w:b/>
                <w:sz w:val="20"/>
                <w:szCs w:val="20"/>
                <w:u w:val="single"/>
              </w:rPr>
            </w:pPr>
            <w:r w:rsidRPr="0003580F">
              <w:rPr>
                <w:rFonts w:cstheme="minorHAnsi"/>
                <w:sz w:val="20"/>
                <w:szCs w:val="20"/>
              </w:rPr>
              <w:t>Collecte</w:t>
            </w:r>
            <w:r w:rsidR="00103476" w:rsidRPr="0003580F">
              <w:rPr>
                <w:rFonts w:cstheme="minorHAnsi"/>
                <w:sz w:val="20"/>
                <w:szCs w:val="20"/>
              </w:rPr>
              <w:t xml:space="preserve">, </w:t>
            </w:r>
            <w:r w:rsidR="006556CE" w:rsidRPr="0003580F">
              <w:rPr>
                <w:rFonts w:cstheme="minorHAnsi"/>
                <w:sz w:val="20"/>
                <w:szCs w:val="20"/>
              </w:rPr>
              <w:t>stockage,</w:t>
            </w:r>
            <w:r w:rsidR="00103476" w:rsidRPr="0003580F">
              <w:rPr>
                <w:rFonts w:cstheme="minorHAnsi"/>
                <w:sz w:val="20"/>
                <w:szCs w:val="20"/>
              </w:rPr>
              <w:t xml:space="preserve"> modification, extraction, consultation, communication, </w:t>
            </w:r>
            <w:r w:rsidRPr="004D1E26">
              <w:rPr>
                <w:rFonts w:cstheme="minorHAnsi"/>
                <w:sz w:val="20"/>
                <w:szCs w:val="20"/>
              </w:rPr>
              <w:t xml:space="preserve">suppression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267A1489" w14:textId="12A07DBB" w:rsidR="007D287D" w:rsidRPr="007D287D" w:rsidRDefault="007D287D" w:rsidP="007D287D">
            <w:pPr>
              <w:jc w:val="both"/>
              <w:rPr>
                <w:rFonts w:cstheme="minorHAnsi"/>
                <w:sz w:val="20"/>
                <w:szCs w:val="20"/>
              </w:rPr>
            </w:pPr>
            <w:r w:rsidRPr="007D287D">
              <w:rPr>
                <w:rFonts w:cstheme="minorHAnsi"/>
                <w:sz w:val="20"/>
                <w:szCs w:val="20"/>
              </w:rPr>
              <w:t xml:space="preserve">Durée du </w:t>
            </w:r>
            <w:proofErr w:type="gramStart"/>
            <w:r w:rsidRPr="007D287D">
              <w:rPr>
                <w:rFonts w:cstheme="minorHAnsi"/>
                <w:sz w:val="20"/>
                <w:szCs w:val="20"/>
              </w:rPr>
              <w:t xml:space="preserve">contrat </w:t>
            </w:r>
            <w:r w:rsidR="002047BE">
              <w:rPr>
                <w:rFonts w:cstheme="minorHAnsi"/>
                <w:sz w:val="20"/>
                <w:szCs w:val="20"/>
              </w:rPr>
              <w:t xml:space="preserve"> de</w:t>
            </w:r>
            <w:proofErr w:type="gramEnd"/>
            <w:r w:rsidR="002047BE">
              <w:rPr>
                <w:rFonts w:cstheme="minorHAnsi"/>
                <w:sz w:val="20"/>
                <w:szCs w:val="20"/>
              </w:rPr>
              <w:t xml:space="preserve"> 1 an renouvelable 1 fois, soit </w:t>
            </w:r>
            <w:r w:rsidR="00BB7990" w:rsidRPr="004D1E26">
              <w:rPr>
                <w:rFonts w:cstheme="minorHAnsi"/>
                <w:sz w:val="20"/>
                <w:szCs w:val="20"/>
              </w:rPr>
              <w:t>2 ans</w:t>
            </w:r>
            <w:r w:rsidR="002047BE">
              <w:rPr>
                <w:rFonts w:cstheme="minorHAnsi"/>
                <w:sz w:val="20"/>
                <w:szCs w:val="20"/>
              </w:rPr>
              <w:t xml:space="preserve"> maximum</w:t>
            </w:r>
            <w:r w:rsidR="00BB7990" w:rsidRPr="004D1E26">
              <w:rPr>
                <w:rFonts w:cstheme="minorHAnsi"/>
                <w:sz w:val="20"/>
                <w:szCs w:val="20"/>
              </w:rPr>
              <w:t xml:space="preserve"> </w:t>
            </w:r>
            <w:r w:rsidR="004D1E26">
              <w:rPr>
                <w:rFonts w:cstheme="minorHAnsi"/>
                <w:sz w:val="20"/>
                <w:szCs w:val="20"/>
              </w:rPr>
              <w:t>(+ 3 mois)</w:t>
            </w:r>
          </w:p>
          <w:p w14:paraId="1E0223DF" w14:textId="20EEF260" w:rsidR="00103476" w:rsidRPr="00452029" w:rsidRDefault="00103476" w:rsidP="00452029">
            <w:pPr>
              <w:jc w:val="both"/>
              <w:rPr>
                <w:rFonts w:cstheme="minorHAnsi"/>
                <w:i/>
                <w:iCs/>
                <w:sz w:val="20"/>
                <w:szCs w:val="20"/>
              </w:rPr>
            </w:pP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lastRenderedPageBreak/>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64AEE277" w:rsidR="00943341" w:rsidRPr="00D92205" w:rsidRDefault="00A70C73" w:rsidP="00461C79">
            <w:pPr>
              <w:jc w:val="both"/>
              <w:rPr>
                <w:rFonts w:cstheme="minorHAnsi"/>
                <w:sz w:val="17"/>
                <w:szCs w:val="17"/>
              </w:rPr>
            </w:pPr>
            <w:r w:rsidRPr="00452029">
              <w:rPr>
                <w:rFonts w:cstheme="minorHAnsi"/>
                <w:sz w:val="18"/>
                <w:szCs w:val="18"/>
              </w:rPr>
              <w:t xml:space="preserve"> </w:t>
            </w: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 </w:t>
            </w:r>
            <w:r w:rsidR="00740D19">
              <w:rPr>
                <w:rFonts w:cstheme="minorHAnsi"/>
                <w:b/>
                <w:bCs/>
                <w:sz w:val="17"/>
                <w:szCs w:val="17"/>
                <w:highlight w:val="cyan"/>
              </w:rPr>
              <w:t>X</w:t>
            </w:r>
            <w:r w:rsidRPr="00D92205">
              <w:rPr>
                <w:rFonts w:cstheme="minorHAnsi"/>
                <w:b/>
                <w:bCs/>
                <w:sz w:val="17"/>
                <w:szCs w:val="17"/>
                <w:highlight w:val="cyan"/>
              </w:rPr>
              <w:t xml:space="preserve">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proofErr w:type="gramStart"/>
            <w:r w:rsidR="00F96CA9" w:rsidRPr="00D92205">
              <w:rPr>
                <w:b/>
                <w:bCs/>
                <w:sz w:val="18"/>
                <w:szCs w:val="18"/>
                <w:highlight w:val="cyan"/>
              </w:rPr>
              <w:t>OUI  [</w:t>
            </w:r>
            <w:proofErr w:type="gramEnd"/>
            <w:r w:rsidR="00F96CA9" w:rsidRPr="00D92205">
              <w:rPr>
                <w:b/>
                <w:bCs/>
                <w:sz w:val="18"/>
                <w:szCs w:val="18"/>
                <w:highlight w:val="cyan"/>
              </w:rPr>
              <w:t xml:space="preserve">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w:t>
            </w:r>
            <w:proofErr w:type="gramStart"/>
            <w:r w:rsidR="0054098C" w:rsidRPr="00D92205">
              <w:rPr>
                <w:rFonts w:cstheme="minorHAnsi"/>
                <w:b/>
                <w:bCs/>
                <w:color w:val="FF0000"/>
                <w:sz w:val="18"/>
                <w:szCs w:val="18"/>
              </w:rPr>
              <w:t>hors</w:t>
            </w:r>
            <w:proofErr w:type="gramEnd"/>
            <w:r w:rsidR="0054098C" w:rsidRPr="00D92205">
              <w:rPr>
                <w:rFonts w:cstheme="minorHAnsi"/>
                <w:b/>
                <w:bCs/>
                <w:color w:val="FF0000"/>
                <w:sz w:val="18"/>
                <w:szCs w:val="18"/>
              </w:rPr>
              <w:t xml:space="preserve">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05CFF583" w14:textId="77777777" w:rsidR="00992203" w:rsidRDefault="00992203" w:rsidP="004237FD">
      <w:pPr>
        <w:pStyle w:val="Titre1"/>
        <w:rPr>
          <w:rFonts w:asciiTheme="minorHAnsi" w:hAnsiTheme="minorHAnsi" w:cstheme="minorHAnsi"/>
          <w:sz w:val="22"/>
          <w:szCs w:val="22"/>
        </w:rPr>
      </w:pPr>
      <w:bookmarkStart w:id="30" w:name="_Toc160105161"/>
    </w:p>
    <w:p w14:paraId="3D8A33CE" w14:textId="275F5C6C" w:rsidR="006F5157" w:rsidRPr="00997304" w:rsidRDefault="006F5157" w:rsidP="004237FD">
      <w:pPr>
        <w:pStyle w:val="Titre1"/>
        <w:rPr>
          <w:rFonts w:asciiTheme="minorHAnsi" w:hAnsiTheme="minorHAnsi" w:cstheme="minorHAnsi"/>
          <w:sz w:val="22"/>
          <w:szCs w:val="22"/>
        </w:rPr>
      </w:pPr>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Pr="00573DE6" w:rsidRDefault="00C1192B" w:rsidP="00D92205">
      <w:pPr>
        <w:spacing w:after="0" w:line="240" w:lineRule="exact"/>
        <w:jc w:val="both"/>
        <w:rPr>
          <w:rFonts w:cstheme="minorHAnsi"/>
          <w:i/>
          <w:iCs/>
          <w:sz w:val="20"/>
          <w:szCs w:val="20"/>
        </w:rPr>
      </w:pPr>
      <w:r w:rsidRPr="00573DE6">
        <w:rPr>
          <w:rFonts w:cstheme="minorHAnsi"/>
          <w:i/>
          <w:iCs/>
          <w:sz w:val="20"/>
          <w:szCs w:val="20"/>
        </w:rPr>
        <w:t>[</w:t>
      </w:r>
      <w:r w:rsidR="006F5157" w:rsidRPr="00573DE6">
        <w:rPr>
          <w:rFonts w:cstheme="minorHAnsi"/>
          <w:i/>
          <w:iCs/>
          <w:sz w:val="20"/>
          <w:szCs w:val="20"/>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573DE6" w:rsidRDefault="006F5157" w:rsidP="00D92205">
      <w:pPr>
        <w:spacing w:after="0" w:line="240" w:lineRule="exact"/>
        <w:jc w:val="both"/>
        <w:rPr>
          <w:rFonts w:cstheme="minorHAnsi"/>
          <w:i/>
          <w:iCs/>
          <w:sz w:val="20"/>
          <w:szCs w:val="20"/>
        </w:rPr>
      </w:pPr>
      <w:r w:rsidRPr="00573DE6">
        <w:rPr>
          <w:rFonts w:cstheme="minorHAnsi"/>
          <w:i/>
          <w:iCs/>
          <w:sz w:val="20"/>
          <w:szCs w:val="20"/>
        </w:rPr>
        <w:t>Exemples de mesures possibles</w:t>
      </w:r>
      <w:r w:rsidR="00496A03" w:rsidRPr="00573DE6">
        <w:rPr>
          <w:rFonts w:cstheme="minorHAnsi"/>
          <w:i/>
          <w:iCs/>
          <w:sz w:val="20"/>
          <w:szCs w:val="20"/>
        </w:rPr>
        <w:t> </w:t>
      </w:r>
      <w:r w:rsidRPr="00573DE6">
        <w:rPr>
          <w:rFonts w:cstheme="minorHAnsi"/>
          <w:i/>
          <w:iCs/>
          <w:sz w:val="20"/>
          <w:szCs w:val="20"/>
        </w:rPr>
        <w:t>:</w:t>
      </w:r>
    </w:p>
    <w:p w14:paraId="78FB20E6" w14:textId="1CED2C7D"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 xml:space="preserve">mesures de </w:t>
      </w:r>
      <w:proofErr w:type="spellStart"/>
      <w:r w:rsidRPr="00573DE6">
        <w:rPr>
          <w:rFonts w:cstheme="minorHAnsi"/>
          <w:i/>
          <w:iCs/>
          <w:sz w:val="20"/>
          <w:szCs w:val="20"/>
        </w:rPr>
        <w:t>pseudonymisation</w:t>
      </w:r>
      <w:proofErr w:type="spellEnd"/>
      <w:r w:rsidRPr="00573DE6">
        <w:rPr>
          <w:rFonts w:cstheme="minorHAnsi"/>
          <w:i/>
          <w:iCs/>
          <w:sz w:val="20"/>
          <w:szCs w:val="20"/>
        </w:rPr>
        <w:t xml:space="preserve"> et de chiffrement des données à caractère personnel</w:t>
      </w:r>
      <w:r w:rsidR="00496A03" w:rsidRPr="00573DE6">
        <w:rPr>
          <w:rFonts w:cstheme="minorHAnsi"/>
          <w:i/>
          <w:iCs/>
          <w:sz w:val="20"/>
          <w:szCs w:val="20"/>
        </w:rPr>
        <w:t> </w:t>
      </w:r>
      <w:r w:rsidRPr="00573DE6">
        <w:rPr>
          <w:rFonts w:cstheme="minorHAnsi"/>
          <w:i/>
          <w:iCs/>
          <w:sz w:val="20"/>
          <w:szCs w:val="20"/>
        </w:rPr>
        <w:t>;</w:t>
      </w:r>
    </w:p>
    <w:p w14:paraId="5A1471F5" w14:textId="51D086FC"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visant à garantir la confidentialité, l</w:t>
      </w:r>
      <w:r w:rsidR="00B335ED" w:rsidRPr="00573DE6">
        <w:rPr>
          <w:rFonts w:cstheme="minorHAnsi"/>
          <w:i/>
          <w:iCs/>
          <w:sz w:val="20"/>
          <w:szCs w:val="20"/>
        </w:rPr>
        <w:t>’</w:t>
      </w:r>
      <w:r w:rsidRPr="00573DE6">
        <w:rPr>
          <w:rFonts w:cstheme="minorHAnsi"/>
          <w:i/>
          <w:iCs/>
          <w:sz w:val="20"/>
          <w:szCs w:val="20"/>
        </w:rPr>
        <w:t>intégrité, la disponibilité et la résilience constantes des systèmes et des services de traitement</w:t>
      </w:r>
      <w:r w:rsidR="00496A03" w:rsidRPr="00573DE6">
        <w:rPr>
          <w:rFonts w:cstheme="minorHAnsi"/>
          <w:i/>
          <w:iCs/>
          <w:sz w:val="20"/>
          <w:szCs w:val="20"/>
        </w:rPr>
        <w:t> </w:t>
      </w:r>
      <w:r w:rsidRPr="00573DE6">
        <w:rPr>
          <w:rFonts w:cstheme="minorHAnsi"/>
          <w:i/>
          <w:iCs/>
          <w:sz w:val="20"/>
          <w:szCs w:val="20"/>
        </w:rPr>
        <w:t>;</w:t>
      </w:r>
    </w:p>
    <w:p w14:paraId="7784A878" w14:textId="47D747A4"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assurant de disposer de moyens permettant de rétablir la disponibilité des données à caractère personnel et l</w:t>
      </w:r>
      <w:r w:rsidR="00B335ED" w:rsidRPr="00573DE6">
        <w:rPr>
          <w:rFonts w:cstheme="minorHAnsi"/>
          <w:i/>
          <w:iCs/>
          <w:sz w:val="20"/>
          <w:szCs w:val="20"/>
        </w:rPr>
        <w:t>’</w:t>
      </w:r>
      <w:r w:rsidRPr="00573DE6">
        <w:rPr>
          <w:rFonts w:cstheme="minorHAnsi"/>
          <w:i/>
          <w:iCs/>
          <w:sz w:val="20"/>
          <w:szCs w:val="20"/>
        </w:rPr>
        <w:t>accès à celles-ci dans des délais appropriés en cas d</w:t>
      </w:r>
      <w:r w:rsidR="00B335ED" w:rsidRPr="00573DE6">
        <w:rPr>
          <w:rFonts w:cstheme="minorHAnsi"/>
          <w:i/>
          <w:iCs/>
          <w:sz w:val="20"/>
          <w:szCs w:val="20"/>
        </w:rPr>
        <w:t>’</w:t>
      </w:r>
      <w:r w:rsidRPr="00573DE6">
        <w:rPr>
          <w:rFonts w:cstheme="minorHAnsi"/>
          <w:i/>
          <w:iCs/>
          <w:sz w:val="20"/>
          <w:szCs w:val="20"/>
        </w:rPr>
        <w:t>incident physique ou technique</w:t>
      </w:r>
      <w:r w:rsidR="00496A03" w:rsidRPr="00573DE6">
        <w:rPr>
          <w:rFonts w:cstheme="minorHAnsi"/>
          <w:i/>
          <w:iCs/>
          <w:sz w:val="20"/>
          <w:szCs w:val="20"/>
        </w:rPr>
        <w:t> </w:t>
      </w:r>
      <w:r w:rsidRPr="00573DE6">
        <w:rPr>
          <w:rFonts w:cstheme="minorHAnsi"/>
          <w:i/>
          <w:iCs/>
          <w:sz w:val="20"/>
          <w:szCs w:val="20"/>
        </w:rPr>
        <w:t>;</w:t>
      </w:r>
    </w:p>
    <w:p w14:paraId="56F948CC" w14:textId="28E42D1B"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procédures visant à tester, à analyser et à évaluer régulièrement l</w:t>
      </w:r>
      <w:r w:rsidR="00B335ED" w:rsidRPr="00573DE6">
        <w:rPr>
          <w:rFonts w:cstheme="minorHAnsi"/>
          <w:i/>
          <w:iCs/>
          <w:sz w:val="20"/>
          <w:szCs w:val="20"/>
        </w:rPr>
        <w:t>’</w:t>
      </w:r>
      <w:r w:rsidRPr="00573DE6">
        <w:rPr>
          <w:rFonts w:cstheme="minorHAnsi"/>
          <w:i/>
          <w:iCs/>
          <w:sz w:val="20"/>
          <w:szCs w:val="20"/>
        </w:rPr>
        <w:t>efficacité des mesures techniques et organisationnelles pour assurer la sécurité du traitement</w:t>
      </w:r>
      <w:r w:rsidR="00496A03" w:rsidRPr="00573DE6">
        <w:rPr>
          <w:rFonts w:cstheme="minorHAnsi"/>
          <w:i/>
          <w:iCs/>
          <w:sz w:val="20"/>
          <w:szCs w:val="20"/>
        </w:rPr>
        <w:t> </w:t>
      </w:r>
      <w:r w:rsidRPr="00573DE6">
        <w:rPr>
          <w:rFonts w:cstheme="minorHAnsi"/>
          <w:i/>
          <w:iCs/>
          <w:sz w:val="20"/>
          <w:szCs w:val="20"/>
        </w:rPr>
        <w:t>;</w:t>
      </w:r>
    </w:p>
    <w:p w14:paraId="1344C87E" w14:textId="54A32612"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d</w:t>
      </w:r>
      <w:r w:rsidR="00B335ED" w:rsidRPr="00573DE6">
        <w:rPr>
          <w:rFonts w:cstheme="minorHAnsi"/>
          <w:i/>
          <w:iCs/>
          <w:sz w:val="20"/>
          <w:szCs w:val="20"/>
        </w:rPr>
        <w:t>’</w:t>
      </w:r>
      <w:r w:rsidRPr="00573DE6">
        <w:rPr>
          <w:rFonts w:cstheme="minorHAnsi"/>
          <w:i/>
          <w:iCs/>
          <w:sz w:val="20"/>
          <w:szCs w:val="20"/>
        </w:rPr>
        <w:t>identification et d</w:t>
      </w:r>
      <w:r w:rsidR="00B335ED" w:rsidRPr="00573DE6">
        <w:rPr>
          <w:rFonts w:cstheme="minorHAnsi"/>
          <w:i/>
          <w:iCs/>
          <w:sz w:val="20"/>
          <w:szCs w:val="20"/>
        </w:rPr>
        <w:t>’</w:t>
      </w:r>
      <w:r w:rsidRPr="00573DE6">
        <w:rPr>
          <w:rFonts w:cstheme="minorHAnsi"/>
          <w:i/>
          <w:iCs/>
          <w:sz w:val="20"/>
          <w:szCs w:val="20"/>
        </w:rPr>
        <w:t>autorisation de l</w:t>
      </w:r>
      <w:r w:rsidR="00B335ED" w:rsidRPr="00573DE6">
        <w:rPr>
          <w:rFonts w:cstheme="minorHAnsi"/>
          <w:i/>
          <w:iCs/>
          <w:sz w:val="20"/>
          <w:szCs w:val="20"/>
        </w:rPr>
        <w:t>’</w:t>
      </w:r>
      <w:r w:rsidRPr="00573DE6">
        <w:rPr>
          <w:rFonts w:cstheme="minorHAnsi"/>
          <w:i/>
          <w:iCs/>
          <w:sz w:val="20"/>
          <w:szCs w:val="20"/>
        </w:rPr>
        <w:t>utilisateur</w:t>
      </w:r>
      <w:r w:rsidR="00496A03" w:rsidRPr="00573DE6">
        <w:rPr>
          <w:rFonts w:cstheme="minorHAnsi"/>
          <w:i/>
          <w:iCs/>
          <w:sz w:val="20"/>
          <w:szCs w:val="20"/>
        </w:rPr>
        <w:t> </w:t>
      </w:r>
      <w:r w:rsidRPr="00573DE6">
        <w:rPr>
          <w:rFonts w:cstheme="minorHAnsi"/>
          <w:i/>
          <w:iCs/>
          <w:sz w:val="20"/>
          <w:szCs w:val="20"/>
        </w:rPr>
        <w:t>;</w:t>
      </w:r>
    </w:p>
    <w:p w14:paraId="6A489C19" w14:textId="11F86266"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de protection des données pendant la transmission</w:t>
      </w:r>
      <w:r w:rsidR="00496A03" w:rsidRPr="00573DE6">
        <w:rPr>
          <w:rFonts w:cstheme="minorHAnsi"/>
          <w:i/>
          <w:iCs/>
          <w:sz w:val="20"/>
          <w:szCs w:val="20"/>
        </w:rPr>
        <w:t> </w:t>
      </w:r>
      <w:r w:rsidRPr="00573DE6">
        <w:rPr>
          <w:rFonts w:cstheme="minorHAnsi"/>
          <w:i/>
          <w:iCs/>
          <w:sz w:val="20"/>
          <w:szCs w:val="20"/>
        </w:rPr>
        <w:t>;</w:t>
      </w:r>
    </w:p>
    <w:p w14:paraId="656732EB" w14:textId="00E39F14"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de protection des données pendant le stockage</w:t>
      </w:r>
      <w:r w:rsidR="00496A03" w:rsidRPr="00573DE6">
        <w:rPr>
          <w:rFonts w:cstheme="minorHAnsi"/>
          <w:i/>
          <w:iCs/>
          <w:sz w:val="20"/>
          <w:szCs w:val="20"/>
        </w:rPr>
        <w:t> </w:t>
      </w:r>
      <w:r w:rsidRPr="00573DE6">
        <w:rPr>
          <w:rFonts w:cstheme="minorHAnsi"/>
          <w:i/>
          <w:iCs/>
          <w:sz w:val="20"/>
          <w:szCs w:val="20"/>
        </w:rPr>
        <w:t>;</w:t>
      </w:r>
    </w:p>
    <w:p w14:paraId="4E52F4E8" w14:textId="375A6256"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lastRenderedPageBreak/>
        <w:t>mesures visant à garantir la sécurité physique des sites où les données à caractère personnel sont traitées</w:t>
      </w:r>
      <w:r w:rsidR="00496A03" w:rsidRPr="00573DE6">
        <w:rPr>
          <w:rFonts w:cstheme="minorHAnsi"/>
          <w:i/>
          <w:iCs/>
          <w:sz w:val="20"/>
          <w:szCs w:val="20"/>
        </w:rPr>
        <w:t> </w:t>
      </w:r>
      <w:r w:rsidRPr="00573DE6">
        <w:rPr>
          <w:rFonts w:cstheme="minorHAnsi"/>
          <w:i/>
          <w:iCs/>
          <w:sz w:val="20"/>
          <w:szCs w:val="20"/>
        </w:rPr>
        <w:t>;</w:t>
      </w:r>
    </w:p>
    <w:p w14:paraId="7B527A39" w14:textId="217B4D32"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visant à garantir l</w:t>
      </w:r>
      <w:r w:rsidR="00B335ED" w:rsidRPr="00573DE6">
        <w:rPr>
          <w:rFonts w:cstheme="minorHAnsi"/>
          <w:i/>
          <w:iCs/>
          <w:sz w:val="20"/>
          <w:szCs w:val="20"/>
        </w:rPr>
        <w:t>’</w:t>
      </w:r>
      <w:r w:rsidRPr="00573DE6">
        <w:rPr>
          <w:rFonts w:cstheme="minorHAnsi"/>
          <w:i/>
          <w:iCs/>
          <w:sz w:val="20"/>
          <w:szCs w:val="20"/>
        </w:rPr>
        <w:t>enregistrement des événements</w:t>
      </w:r>
      <w:r w:rsidR="00496A03" w:rsidRPr="00573DE6">
        <w:rPr>
          <w:rFonts w:cstheme="minorHAnsi"/>
          <w:i/>
          <w:iCs/>
          <w:sz w:val="20"/>
          <w:szCs w:val="20"/>
        </w:rPr>
        <w:t> </w:t>
      </w:r>
      <w:r w:rsidRPr="00573DE6">
        <w:rPr>
          <w:rFonts w:cstheme="minorHAnsi"/>
          <w:i/>
          <w:iCs/>
          <w:sz w:val="20"/>
          <w:szCs w:val="20"/>
        </w:rPr>
        <w:t>;</w:t>
      </w:r>
    </w:p>
    <w:p w14:paraId="19958615" w14:textId="124D2ED7"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visant à assurer la configuration des systèmes, y compris la configuration par défaut</w:t>
      </w:r>
      <w:r w:rsidR="00496A03" w:rsidRPr="00573DE6">
        <w:rPr>
          <w:rFonts w:cstheme="minorHAnsi"/>
          <w:i/>
          <w:iCs/>
          <w:sz w:val="20"/>
          <w:szCs w:val="20"/>
        </w:rPr>
        <w:t> </w:t>
      </w:r>
      <w:r w:rsidRPr="00573DE6">
        <w:rPr>
          <w:rFonts w:cstheme="minorHAnsi"/>
          <w:i/>
          <w:iCs/>
          <w:sz w:val="20"/>
          <w:szCs w:val="20"/>
        </w:rPr>
        <w:t>;</w:t>
      </w:r>
    </w:p>
    <w:p w14:paraId="1C0F84E6" w14:textId="360AA002"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de gouvernance et de gestion de l</w:t>
      </w:r>
      <w:r w:rsidR="00B335ED" w:rsidRPr="00573DE6">
        <w:rPr>
          <w:rFonts w:cstheme="minorHAnsi"/>
          <w:i/>
          <w:iCs/>
          <w:sz w:val="20"/>
          <w:szCs w:val="20"/>
        </w:rPr>
        <w:t>’</w:t>
      </w:r>
      <w:r w:rsidRPr="00573DE6">
        <w:rPr>
          <w:rFonts w:cstheme="minorHAnsi"/>
          <w:i/>
          <w:iCs/>
          <w:sz w:val="20"/>
          <w:szCs w:val="20"/>
        </w:rPr>
        <w:t>informatique interne et de la sécurité informatique</w:t>
      </w:r>
      <w:r w:rsidR="00496A03" w:rsidRPr="00573DE6">
        <w:rPr>
          <w:rFonts w:cstheme="minorHAnsi"/>
          <w:i/>
          <w:iCs/>
          <w:sz w:val="20"/>
          <w:szCs w:val="20"/>
        </w:rPr>
        <w:t> </w:t>
      </w:r>
      <w:r w:rsidRPr="00573DE6">
        <w:rPr>
          <w:rFonts w:cstheme="minorHAnsi"/>
          <w:i/>
          <w:iCs/>
          <w:sz w:val="20"/>
          <w:szCs w:val="20"/>
        </w:rPr>
        <w:t>;</w:t>
      </w:r>
    </w:p>
    <w:p w14:paraId="7329299D" w14:textId="50A94584"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de certification/assurance des procédés et produits</w:t>
      </w:r>
      <w:r w:rsidR="00496A03" w:rsidRPr="00573DE6">
        <w:rPr>
          <w:rFonts w:cstheme="minorHAnsi"/>
          <w:i/>
          <w:iCs/>
          <w:sz w:val="20"/>
          <w:szCs w:val="20"/>
        </w:rPr>
        <w:t> </w:t>
      </w:r>
      <w:r w:rsidRPr="00573DE6">
        <w:rPr>
          <w:rFonts w:cstheme="minorHAnsi"/>
          <w:i/>
          <w:iCs/>
          <w:sz w:val="20"/>
          <w:szCs w:val="20"/>
        </w:rPr>
        <w:t>;</w:t>
      </w:r>
    </w:p>
    <w:p w14:paraId="0631D599" w14:textId="08DCBC29"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visant à garantir la minimisation des données</w:t>
      </w:r>
      <w:r w:rsidR="00496A03" w:rsidRPr="00573DE6">
        <w:rPr>
          <w:rFonts w:cstheme="minorHAnsi"/>
          <w:i/>
          <w:iCs/>
          <w:sz w:val="20"/>
          <w:szCs w:val="20"/>
        </w:rPr>
        <w:t> </w:t>
      </w:r>
      <w:r w:rsidRPr="00573DE6">
        <w:rPr>
          <w:rFonts w:cstheme="minorHAnsi"/>
          <w:i/>
          <w:iCs/>
          <w:sz w:val="20"/>
          <w:szCs w:val="20"/>
        </w:rPr>
        <w:t>;</w:t>
      </w:r>
    </w:p>
    <w:p w14:paraId="225C6190" w14:textId="172B3741"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visant à garantir la qualité des données</w:t>
      </w:r>
      <w:r w:rsidR="00496A03" w:rsidRPr="00573DE6">
        <w:rPr>
          <w:rFonts w:cstheme="minorHAnsi"/>
          <w:i/>
          <w:iCs/>
          <w:sz w:val="20"/>
          <w:szCs w:val="20"/>
        </w:rPr>
        <w:t> </w:t>
      </w:r>
      <w:r w:rsidRPr="00573DE6">
        <w:rPr>
          <w:rFonts w:cstheme="minorHAnsi"/>
          <w:i/>
          <w:iCs/>
          <w:sz w:val="20"/>
          <w:szCs w:val="20"/>
        </w:rPr>
        <w:t>;</w:t>
      </w:r>
    </w:p>
    <w:p w14:paraId="700F7F2D" w14:textId="6FF38197"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visant à garantir une conservation limitée des données</w:t>
      </w:r>
      <w:r w:rsidR="00496A03" w:rsidRPr="00573DE6">
        <w:rPr>
          <w:rFonts w:cstheme="minorHAnsi"/>
          <w:i/>
          <w:iCs/>
          <w:sz w:val="20"/>
          <w:szCs w:val="20"/>
        </w:rPr>
        <w:t> </w:t>
      </w:r>
      <w:r w:rsidRPr="00573DE6">
        <w:rPr>
          <w:rFonts w:cstheme="minorHAnsi"/>
          <w:i/>
          <w:iCs/>
          <w:sz w:val="20"/>
          <w:szCs w:val="20"/>
        </w:rPr>
        <w:t>;</w:t>
      </w:r>
    </w:p>
    <w:p w14:paraId="7D421662" w14:textId="6BBF7AE9"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visant à garantir la responsabilité</w:t>
      </w:r>
      <w:r w:rsidR="00496A03" w:rsidRPr="00573DE6">
        <w:rPr>
          <w:rFonts w:cstheme="minorHAnsi"/>
          <w:i/>
          <w:iCs/>
          <w:sz w:val="20"/>
          <w:szCs w:val="20"/>
        </w:rPr>
        <w:t> </w:t>
      </w:r>
      <w:r w:rsidRPr="00573DE6">
        <w:rPr>
          <w:rFonts w:cstheme="minorHAnsi"/>
          <w:i/>
          <w:iCs/>
          <w:sz w:val="20"/>
          <w:szCs w:val="20"/>
        </w:rPr>
        <w:t>;</w:t>
      </w:r>
    </w:p>
    <w:p w14:paraId="2C6C3E9E" w14:textId="0975602A" w:rsidR="006F5157" w:rsidRPr="00573DE6" w:rsidRDefault="006F5157" w:rsidP="00D92205">
      <w:pPr>
        <w:pStyle w:val="Paragraphedeliste"/>
        <w:numPr>
          <w:ilvl w:val="0"/>
          <w:numId w:val="19"/>
        </w:numPr>
        <w:spacing w:after="0" w:line="240" w:lineRule="exact"/>
        <w:jc w:val="both"/>
        <w:rPr>
          <w:rFonts w:cstheme="minorHAnsi"/>
          <w:i/>
          <w:iCs/>
          <w:sz w:val="20"/>
          <w:szCs w:val="20"/>
        </w:rPr>
      </w:pPr>
      <w:r w:rsidRPr="00573DE6">
        <w:rPr>
          <w:rFonts w:cstheme="minorHAnsi"/>
          <w:i/>
          <w:iCs/>
          <w:sz w:val="20"/>
          <w:szCs w:val="20"/>
        </w:rPr>
        <w:t>mesures permettant la portabilité des données et garantissant l</w:t>
      </w:r>
      <w:r w:rsidR="00B335ED" w:rsidRPr="00573DE6">
        <w:rPr>
          <w:rFonts w:cstheme="minorHAnsi"/>
          <w:i/>
          <w:iCs/>
          <w:sz w:val="20"/>
          <w:szCs w:val="20"/>
        </w:rPr>
        <w:t>’</w:t>
      </w:r>
      <w:r w:rsidRPr="00573DE6">
        <w:rPr>
          <w:rFonts w:cstheme="minorHAnsi"/>
          <w:i/>
          <w:iCs/>
          <w:sz w:val="20"/>
          <w:szCs w:val="20"/>
        </w:rPr>
        <w:t>effacement</w:t>
      </w:r>
      <w:r w:rsidR="00496A03" w:rsidRPr="00573DE6">
        <w:rPr>
          <w:rFonts w:cstheme="minorHAnsi"/>
          <w:i/>
          <w:iCs/>
          <w:sz w:val="20"/>
          <w:szCs w:val="20"/>
        </w:rPr>
        <w:t>.</w:t>
      </w:r>
      <w:r w:rsidR="0065378F" w:rsidRPr="00573DE6">
        <w:rPr>
          <w:rFonts w:cstheme="minorHAnsi"/>
          <w:i/>
          <w:iCs/>
          <w:sz w:val="20"/>
          <w:szCs w:val="20"/>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1797B91B" w14:textId="38AECC39" w:rsidR="006F5157" w:rsidRPr="00452029" w:rsidRDefault="006F5157" w:rsidP="00992203">
      <w:pPr>
        <w:spacing w:line="240" w:lineRule="exact"/>
        <w:rPr>
          <w:rFonts w:cstheme="minorHAnsi"/>
        </w:rPr>
      </w:pPr>
      <w:bookmarkStart w:id="31" w:name="_Toc160105162"/>
      <w:r w:rsidRPr="00452029">
        <w:rPr>
          <w:rFonts w:cstheme="minorHAnsi"/>
        </w:rPr>
        <w:t>ANNEXE IV</w:t>
      </w:r>
      <w:r w:rsidR="001234CA" w:rsidRPr="00452029">
        <w:rPr>
          <w:rFonts w:cstheme="minorHAnsi"/>
        </w:rPr>
        <w:t xml:space="preserve"> - </w:t>
      </w:r>
      <w:r w:rsidRPr="00452029">
        <w:rPr>
          <w:rFonts w:cstheme="minorHAnsi"/>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573DE6">
        <w:rPr>
          <w:rFonts w:cstheme="minorHAnsi"/>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17E8" w14:textId="7DAD2220" w:rsidR="0020221B" w:rsidRPr="0020221B" w:rsidRDefault="0020221B" w:rsidP="0020221B">
    <w:pPr>
      <w:pStyle w:val="En-tte"/>
      <w:jc w:val="right"/>
      <w:rPr>
        <w:i/>
        <w:iCs/>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CE85CD8"/>
    <w:multiLevelType w:val="hybridMultilevel"/>
    <w:tmpl w:val="1E3EA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7"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2"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595ADA4"/>
    <w:multiLevelType w:val="hybridMultilevel"/>
    <w:tmpl w:val="FFFFFFFF"/>
    <w:lvl w:ilvl="0" w:tplc="296455CE">
      <w:start w:val="1"/>
      <w:numFmt w:val="bullet"/>
      <w:lvlText w:val=""/>
      <w:lvlJc w:val="left"/>
      <w:pPr>
        <w:ind w:left="720" w:hanging="360"/>
      </w:pPr>
      <w:rPr>
        <w:rFonts w:ascii="Wingdings" w:hAnsi="Wingdings" w:hint="default"/>
      </w:rPr>
    </w:lvl>
    <w:lvl w:ilvl="1" w:tplc="10DE9096">
      <w:start w:val="1"/>
      <w:numFmt w:val="bullet"/>
      <w:lvlText w:val="o"/>
      <w:lvlJc w:val="left"/>
      <w:pPr>
        <w:ind w:left="1440" w:hanging="360"/>
      </w:pPr>
      <w:rPr>
        <w:rFonts w:ascii="Courier New" w:hAnsi="Courier New" w:hint="default"/>
      </w:rPr>
    </w:lvl>
    <w:lvl w:ilvl="2" w:tplc="6CD6AAA4">
      <w:start w:val="1"/>
      <w:numFmt w:val="bullet"/>
      <w:lvlText w:val=""/>
      <w:lvlJc w:val="left"/>
      <w:pPr>
        <w:ind w:left="2160" w:hanging="360"/>
      </w:pPr>
      <w:rPr>
        <w:rFonts w:ascii="Wingdings" w:hAnsi="Wingdings" w:hint="default"/>
      </w:rPr>
    </w:lvl>
    <w:lvl w:ilvl="3" w:tplc="C160F81C">
      <w:start w:val="1"/>
      <w:numFmt w:val="bullet"/>
      <w:lvlText w:val=""/>
      <w:lvlJc w:val="left"/>
      <w:pPr>
        <w:ind w:left="2880" w:hanging="360"/>
      </w:pPr>
      <w:rPr>
        <w:rFonts w:ascii="Symbol" w:hAnsi="Symbol" w:hint="default"/>
      </w:rPr>
    </w:lvl>
    <w:lvl w:ilvl="4" w:tplc="05527C94">
      <w:start w:val="1"/>
      <w:numFmt w:val="bullet"/>
      <w:lvlText w:val="o"/>
      <w:lvlJc w:val="left"/>
      <w:pPr>
        <w:ind w:left="3600" w:hanging="360"/>
      </w:pPr>
      <w:rPr>
        <w:rFonts w:ascii="Courier New" w:hAnsi="Courier New" w:hint="default"/>
      </w:rPr>
    </w:lvl>
    <w:lvl w:ilvl="5" w:tplc="C0D409D0">
      <w:start w:val="1"/>
      <w:numFmt w:val="bullet"/>
      <w:lvlText w:val=""/>
      <w:lvlJc w:val="left"/>
      <w:pPr>
        <w:ind w:left="4320" w:hanging="360"/>
      </w:pPr>
      <w:rPr>
        <w:rFonts w:ascii="Wingdings" w:hAnsi="Wingdings" w:hint="default"/>
      </w:rPr>
    </w:lvl>
    <w:lvl w:ilvl="6" w:tplc="ABE02D0A">
      <w:start w:val="1"/>
      <w:numFmt w:val="bullet"/>
      <w:lvlText w:val=""/>
      <w:lvlJc w:val="left"/>
      <w:pPr>
        <w:ind w:left="5040" w:hanging="360"/>
      </w:pPr>
      <w:rPr>
        <w:rFonts w:ascii="Symbol" w:hAnsi="Symbol" w:hint="default"/>
      </w:rPr>
    </w:lvl>
    <w:lvl w:ilvl="7" w:tplc="24B82DC4">
      <w:start w:val="1"/>
      <w:numFmt w:val="bullet"/>
      <w:lvlText w:val="o"/>
      <w:lvlJc w:val="left"/>
      <w:pPr>
        <w:ind w:left="5760" w:hanging="360"/>
      </w:pPr>
      <w:rPr>
        <w:rFonts w:ascii="Courier New" w:hAnsi="Courier New" w:hint="default"/>
      </w:rPr>
    </w:lvl>
    <w:lvl w:ilvl="8" w:tplc="4238EEDA">
      <w:start w:val="1"/>
      <w:numFmt w:val="bullet"/>
      <w:lvlText w:val=""/>
      <w:lvlJc w:val="left"/>
      <w:pPr>
        <w:ind w:left="6480" w:hanging="360"/>
      </w:pPr>
      <w:rPr>
        <w:rFonts w:ascii="Wingdings" w:hAnsi="Wingdings" w:hint="default"/>
      </w:rPr>
    </w:lvl>
  </w:abstractNum>
  <w:abstractNum w:abstractNumId="44"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5"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B9E4248"/>
    <w:multiLevelType w:val="hybridMultilevel"/>
    <w:tmpl w:val="EAE03C0C"/>
    <w:lvl w:ilvl="0" w:tplc="040C0001">
      <w:start w:val="1"/>
      <w:numFmt w:val="bullet"/>
      <w:lvlText w:val=""/>
      <w:lvlJc w:val="left"/>
      <w:pPr>
        <w:ind w:left="720" w:hanging="360"/>
      </w:pPr>
      <w:rPr>
        <w:rFonts w:ascii="Symbol" w:hAnsi="Symbol" w:hint="default"/>
      </w:rPr>
    </w:lvl>
    <w:lvl w:ilvl="1" w:tplc="CAAE1D2E">
      <w:start w:val="1"/>
      <w:numFmt w:val="bullet"/>
      <w:lvlText w:val="o"/>
      <w:lvlJc w:val="left"/>
      <w:pPr>
        <w:ind w:left="1440" w:hanging="360"/>
      </w:pPr>
      <w:rPr>
        <w:rFonts w:ascii="Courier New" w:hAnsi="Courier New" w:hint="default"/>
      </w:rPr>
    </w:lvl>
    <w:lvl w:ilvl="2" w:tplc="BAA848EC">
      <w:start w:val="1"/>
      <w:numFmt w:val="bullet"/>
      <w:lvlText w:val=""/>
      <w:lvlJc w:val="left"/>
      <w:pPr>
        <w:ind w:left="2160" w:hanging="360"/>
      </w:pPr>
      <w:rPr>
        <w:rFonts w:ascii="Wingdings" w:hAnsi="Wingdings" w:hint="default"/>
      </w:rPr>
    </w:lvl>
    <w:lvl w:ilvl="3" w:tplc="DBDE8D80">
      <w:start w:val="1"/>
      <w:numFmt w:val="bullet"/>
      <w:lvlText w:val=""/>
      <w:lvlJc w:val="left"/>
      <w:pPr>
        <w:ind w:left="2880" w:hanging="360"/>
      </w:pPr>
      <w:rPr>
        <w:rFonts w:ascii="Symbol" w:hAnsi="Symbol" w:hint="default"/>
      </w:rPr>
    </w:lvl>
    <w:lvl w:ilvl="4" w:tplc="02BC1E88">
      <w:start w:val="1"/>
      <w:numFmt w:val="bullet"/>
      <w:lvlText w:val="o"/>
      <w:lvlJc w:val="left"/>
      <w:pPr>
        <w:ind w:left="3600" w:hanging="360"/>
      </w:pPr>
      <w:rPr>
        <w:rFonts w:ascii="Courier New" w:hAnsi="Courier New" w:hint="default"/>
      </w:rPr>
    </w:lvl>
    <w:lvl w:ilvl="5" w:tplc="A81E100C">
      <w:start w:val="1"/>
      <w:numFmt w:val="bullet"/>
      <w:lvlText w:val=""/>
      <w:lvlJc w:val="left"/>
      <w:pPr>
        <w:ind w:left="4320" w:hanging="360"/>
      </w:pPr>
      <w:rPr>
        <w:rFonts w:ascii="Wingdings" w:hAnsi="Wingdings" w:hint="default"/>
      </w:rPr>
    </w:lvl>
    <w:lvl w:ilvl="6" w:tplc="1C32F824">
      <w:start w:val="1"/>
      <w:numFmt w:val="bullet"/>
      <w:lvlText w:val=""/>
      <w:lvlJc w:val="left"/>
      <w:pPr>
        <w:ind w:left="5040" w:hanging="360"/>
      </w:pPr>
      <w:rPr>
        <w:rFonts w:ascii="Symbol" w:hAnsi="Symbol" w:hint="default"/>
      </w:rPr>
    </w:lvl>
    <w:lvl w:ilvl="7" w:tplc="139A81C0">
      <w:start w:val="1"/>
      <w:numFmt w:val="bullet"/>
      <w:lvlText w:val="o"/>
      <w:lvlJc w:val="left"/>
      <w:pPr>
        <w:ind w:left="5760" w:hanging="360"/>
      </w:pPr>
      <w:rPr>
        <w:rFonts w:ascii="Courier New" w:hAnsi="Courier New" w:hint="default"/>
      </w:rPr>
    </w:lvl>
    <w:lvl w:ilvl="8" w:tplc="472E13CA">
      <w:start w:val="1"/>
      <w:numFmt w:val="bullet"/>
      <w:lvlText w:val=""/>
      <w:lvlJc w:val="left"/>
      <w:pPr>
        <w:ind w:left="6480" w:hanging="360"/>
      </w:pPr>
      <w:rPr>
        <w:rFonts w:ascii="Wingdings" w:hAnsi="Wingdings" w:hint="default"/>
      </w:rPr>
    </w:lvl>
  </w:abstractNum>
  <w:abstractNum w:abstractNumId="48"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7"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2"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3"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C9E5536"/>
    <w:multiLevelType w:val="hybridMultilevel"/>
    <w:tmpl w:val="67BAB990"/>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1"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3"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8"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F530BCA"/>
    <w:multiLevelType w:val="hybridMultilevel"/>
    <w:tmpl w:val="F8CEC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3"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5"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0"/>
  </w:num>
  <w:num w:numId="2" w16cid:durableId="23097890">
    <w:abstractNumId w:val="25"/>
  </w:num>
  <w:num w:numId="3" w16cid:durableId="240330134">
    <w:abstractNumId w:val="64"/>
  </w:num>
  <w:num w:numId="4" w16cid:durableId="100106119">
    <w:abstractNumId w:val="2"/>
  </w:num>
  <w:num w:numId="5" w16cid:durableId="66617201">
    <w:abstractNumId w:val="18"/>
  </w:num>
  <w:num w:numId="6" w16cid:durableId="368073430">
    <w:abstractNumId w:val="12"/>
  </w:num>
  <w:num w:numId="7" w16cid:durableId="40904703">
    <w:abstractNumId w:val="52"/>
  </w:num>
  <w:num w:numId="8" w16cid:durableId="130248672">
    <w:abstractNumId w:val="83"/>
  </w:num>
  <w:num w:numId="9" w16cid:durableId="293412950">
    <w:abstractNumId w:val="17"/>
  </w:num>
  <w:num w:numId="10" w16cid:durableId="2112161915">
    <w:abstractNumId w:val="29"/>
  </w:num>
  <w:num w:numId="11" w16cid:durableId="1955479934">
    <w:abstractNumId w:val="91"/>
  </w:num>
  <w:num w:numId="12" w16cid:durableId="1275401641">
    <w:abstractNumId w:val="35"/>
  </w:num>
  <w:num w:numId="13" w16cid:durableId="208297451">
    <w:abstractNumId w:val="11"/>
  </w:num>
  <w:num w:numId="14" w16cid:durableId="622618649">
    <w:abstractNumId w:val="63"/>
  </w:num>
  <w:num w:numId="15" w16cid:durableId="1243182369">
    <w:abstractNumId w:val="56"/>
  </w:num>
  <w:num w:numId="16" w16cid:durableId="1398625178">
    <w:abstractNumId w:val="0"/>
  </w:num>
  <w:num w:numId="17" w16cid:durableId="1873959320">
    <w:abstractNumId w:val="67"/>
  </w:num>
  <w:num w:numId="18" w16cid:durableId="1440296132">
    <w:abstractNumId w:val="36"/>
  </w:num>
  <w:num w:numId="19" w16cid:durableId="1241988562">
    <w:abstractNumId w:val="60"/>
  </w:num>
  <w:num w:numId="20" w16cid:durableId="696082934">
    <w:abstractNumId w:val="51"/>
  </w:num>
  <w:num w:numId="21" w16cid:durableId="761606446">
    <w:abstractNumId w:val="65"/>
  </w:num>
  <w:num w:numId="22" w16cid:durableId="1528592923">
    <w:abstractNumId w:val="99"/>
  </w:num>
  <w:num w:numId="23" w16cid:durableId="209732561">
    <w:abstractNumId w:val="5"/>
  </w:num>
  <w:num w:numId="24" w16cid:durableId="813760979">
    <w:abstractNumId w:val="71"/>
  </w:num>
  <w:num w:numId="25" w16cid:durableId="2132823762">
    <w:abstractNumId w:val="70"/>
  </w:num>
  <w:num w:numId="26" w16cid:durableId="1680542450">
    <w:abstractNumId w:val="58"/>
  </w:num>
  <w:num w:numId="27" w16cid:durableId="1018967415">
    <w:abstractNumId w:val="76"/>
  </w:num>
  <w:num w:numId="28" w16cid:durableId="1782340786">
    <w:abstractNumId w:val="40"/>
  </w:num>
  <w:num w:numId="29" w16cid:durableId="1958632599">
    <w:abstractNumId w:val="54"/>
  </w:num>
  <w:num w:numId="30" w16cid:durableId="1449545290">
    <w:abstractNumId w:val="49"/>
  </w:num>
  <w:num w:numId="31" w16cid:durableId="2055689273">
    <w:abstractNumId w:val="82"/>
  </w:num>
  <w:num w:numId="32" w16cid:durableId="1920291230">
    <w:abstractNumId w:val="104"/>
  </w:num>
  <w:num w:numId="33" w16cid:durableId="643779450">
    <w:abstractNumId w:val="19"/>
  </w:num>
  <w:num w:numId="34" w16cid:durableId="1776513234">
    <w:abstractNumId w:val="38"/>
  </w:num>
  <w:num w:numId="35" w16cid:durableId="1294870141">
    <w:abstractNumId w:val="42"/>
  </w:num>
  <w:num w:numId="36" w16cid:durableId="1015234180">
    <w:abstractNumId w:val="15"/>
  </w:num>
  <w:num w:numId="37" w16cid:durableId="55130114">
    <w:abstractNumId w:val="87"/>
  </w:num>
  <w:num w:numId="38" w16cid:durableId="1035883137">
    <w:abstractNumId w:val="44"/>
  </w:num>
  <w:num w:numId="39" w16cid:durableId="2020502771">
    <w:abstractNumId w:val="77"/>
  </w:num>
  <w:num w:numId="40" w16cid:durableId="1851404422">
    <w:abstractNumId w:val="69"/>
  </w:num>
  <w:num w:numId="41" w16cid:durableId="745541236">
    <w:abstractNumId w:val="59"/>
  </w:num>
  <w:num w:numId="42" w16cid:durableId="1701278354">
    <w:abstractNumId w:val="30"/>
  </w:num>
  <w:num w:numId="43" w16cid:durableId="2137328851">
    <w:abstractNumId w:val="33"/>
  </w:num>
  <w:num w:numId="44" w16cid:durableId="1611085350">
    <w:abstractNumId w:val="37"/>
  </w:num>
  <w:num w:numId="45" w16cid:durableId="169610300">
    <w:abstractNumId w:val="74"/>
  </w:num>
  <w:num w:numId="46" w16cid:durableId="510224157">
    <w:abstractNumId w:val="14"/>
  </w:num>
  <w:num w:numId="47" w16cid:durableId="289670155">
    <w:abstractNumId w:val="86"/>
  </w:num>
  <w:num w:numId="48" w16cid:durableId="914583439">
    <w:abstractNumId w:val="68"/>
  </w:num>
  <w:num w:numId="49" w16cid:durableId="1395471696">
    <w:abstractNumId w:val="103"/>
  </w:num>
  <w:num w:numId="50" w16cid:durableId="611060444">
    <w:abstractNumId w:val="6"/>
  </w:num>
  <w:num w:numId="51" w16cid:durableId="1564019714">
    <w:abstractNumId w:val="26"/>
  </w:num>
  <w:num w:numId="52" w16cid:durableId="2018654521">
    <w:abstractNumId w:val="81"/>
  </w:num>
  <w:num w:numId="53" w16cid:durableId="1612587041">
    <w:abstractNumId w:val="84"/>
  </w:num>
  <w:num w:numId="54" w16cid:durableId="1847864772">
    <w:abstractNumId w:val="92"/>
  </w:num>
  <w:num w:numId="55" w16cid:durableId="1021199975">
    <w:abstractNumId w:val="10"/>
  </w:num>
  <w:num w:numId="56" w16cid:durableId="2094085599">
    <w:abstractNumId w:val="53"/>
  </w:num>
  <w:num w:numId="57" w16cid:durableId="1879395154">
    <w:abstractNumId w:val="79"/>
  </w:num>
  <w:num w:numId="58" w16cid:durableId="1085031833">
    <w:abstractNumId w:val="9"/>
  </w:num>
  <w:num w:numId="59" w16cid:durableId="1319310168">
    <w:abstractNumId w:val="50"/>
  </w:num>
  <w:num w:numId="60" w16cid:durableId="372968689">
    <w:abstractNumId w:val="45"/>
  </w:num>
  <w:num w:numId="61" w16cid:durableId="1598052128">
    <w:abstractNumId w:val="94"/>
  </w:num>
  <w:num w:numId="62" w16cid:durableId="311564762">
    <w:abstractNumId w:val="46"/>
  </w:num>
  <w:num w:numId="63" w16cid:durableId="1564219956">
    <w:abstractNumId w:val="100"/>
  </w:num>
  <w:num w:numId="64" w16cid:durableId="1240871798">
    <w:abstractNumId w:val="88"/>
  </w:num>
  <w:num w:numId="65" w16cid:durableId="1038507853">
    <w:abstractNumId w:val="48"/>
  </w:num>
  <w:num w:numId="66" w16cid:durableId="711924739">
    <w:abstractNumId w:val="55"/>
  </w:num>
  <w:num w:numId="67" w16cid:durableId="1072390450">
    <w:abstractNumId w:val="78"/>
  </w:num>
  <w:num w:numId="68" w16cid:durableId="650718916">
    <w:abstractNumId w:val="72"/>
  </w:num>
  <w:num w:numId="69" w16cid:durableId="259027228">
    <w:abstractNumId w:val="34"/>
  </w:num>
  <w:num w:numId="70" w16cid:durableId="521746409">
    <w:abstractNumId w:val="90"/>
  </w:num>
  <w:num w:numId="71" w16cid:durableId="1642610408">
    <w:abstractNumId w:val="89"/>
  </w:num>
  <w:num w:numId="72" w16cid:durableId="1645815816">
    <w:abstractNumId w:val="27"/>
  </w:num>
  <w:num w:numId="73" w16cid:durableId="1359548465">
    <w:abstractNumId w:val="22"/>
  </w:num>
  <w:num w:numId="74" w16cid:durableId="1322344471">
    <w:abstractNumId w:val="28"/>
  </w:num>
  <w:num w:numId="75" w16cid:durableId="1921064339">
    <w:abstractNumId w:val="80"/>
  </w:num>
  <w:num w:numId="76" w16cid:durableId="161900139">
    <w:abstractNumId w:val="66"/>
  </w:num>
  <w:num w:numId="77" w16cid:durableId="214703921">
    <w:abstractNumId w:val="24"/>
  </w:num>
  <w:num w:numId="78" w16cid:durableId="317853913">
    <w:abstractNumId w:val="16"/>
  </w:num>
  <w:num w:numId="79" w16cid:durableId="418141768">
    <w:abstractNumId w:val="7"/>
  </w:num>
  <w:num w:numId="80" w16cid:durableId="2117942878">
    <w:abstractNumId w:val="98"/>
  </w:num>
  <w:num w:numId="81" w16cid:durableId="227040620">
    <w:abstractNumId w:val="61"/>
  </w:num>
  <w:num w:numId="82" w16cid:durableId="238558043">
    <w:abstractNumId w:val="21"/>
  </w:num>
  <w:num w:numId="83" w16cid:durableId="1555001007">
    <w:abstractNumId w:val="13"/>
  </w:num>
  <w:num w:numId="84" w16cid:durableId="1698895351">
    <w:abstractNumId w:val="95"/>
  </w:num>
  <w:num w:numId="85" w16cid:durableId="204635537">
    <w:abstractNumId w:val="1"/>
  </w:num>
  <w:num w:numId="86" w16cid:durableId="185339333">
    <w:abstractNumId w:val="85"/>
  </w:num>
  <w:num w:numId="87" w16cid:durableId="2124225558">
    <w:abstractNumId w:val="31"/>
  </w:num>
  <w:num w:numId="88" w16cid:durableId="779027641">
    <w:abstractNumId w:val="57"/>
  </w:num>
  <w:num w:numId="89" w16cid:durableId="416752988">
    <w:abstractNumId w:val="105"/>
  </w:num>
  <w:num w:numId="90" w16cid:durableId="1469518990">
    <w:abstractNumId w:val="102"/>
  </w:num>
  <w:num w:numId="91" w16cid:durableId="1341932611">
    <w:abstractNumId w:val="3"/>
  </w:num>
  <w:num w:numId="92" w16cid:durableId="1063453558">
    <w:abstractNumId w:val="41"/>
  </w:num>
  <w:num w:numId="93" w16cid:durableId="492569533">
    <w:abstractNumId w:val="4"/>
  </w:num>
  <w:num w:numId="94" w16cid:durableId="1178227408">
    <w:abstractNumId w:val="39"/>
  </w:num>
  <w:num w:numId="95" w16cid:durableId="989792465">
    <w:abstractNumId w:val="101"/>
  </w:num>
  <w:num w:numId="96" w16cid:durableId="750129303">
    <w:abstractNumId w:val="32"/>
  </w:num>
  <w:num w:numId="97" w16cid:durableId="1751148697">
    <w:abstractNumId w:val="97"/>
  </w:num>
  <w:num w:numId="98" w16cid:durableId="2025667598">
    <w:abstractNumId w:val="23"/>
  </w:num>
  <w:num w:numId="99" w16cid:durableId="740713684">
    <w:abstractNumId w:val="96"/>
  </w:num>
  <w:num w:numId="100" w16cid:durableId="895244199">
    <w:abstractNumId w:val="73"/>
  </w:num>
  <w:num w:numId="101" w16cid:durableId="1196384538">
    <w:abstractNumId w:val="62"/>
  </w:num>
  <w:num w:numId="102" w16cid:durableId="1588346596">
    <w:abstractNumId w:val="93"/>
  </w:num>
  <w:num w:numId="103" w16cid:durableId="1586450907">
    <w:abstractNumId w:val="8"/>
  </w:num>
  <w:num w:numId="104" w16cid:durableId="727799905">
    <w:abstractNumId w:val="43"/>
  </w:num>
  <w:num w:numId="105" w16cid:durableId="1637298274">
    <w:abstractNumId w:val="47"/>
  </w:num>
  <w:num w:numId="106" w16cid:durableId="994186416">
    <w:abstractNumId w:val="7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3580F"/>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1AB"/>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233A"/>
    <w:rsid w:val="001934FC"/>
    <w:rsid w:val="00195439"/>
    <w:rsid w:val="001A3E98"/>
    <w:rsid w:val="001A560A"/>
    <w:rsid w:val="001A65FE"/>
    <w:rsid w:val="001A6C01"/>
    <w:rsid w:val="001B18C0"/>
    <w:rsid w:val="001B19D0"/>
    <w:rsid w:val="001B2F1C"/>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047BE"/>
    <w:rsid w:val="00215AC3"/>
    <w:rsid w:val="00216896"/>
    <w:rsid w:val="002222E9"/>
    <w:rsid w:val="00224656"/>
    <w:rsid w:val="00231EC3"/>
    <w:rsid w:val="00232C43"/>
    <w:rsid w:val="00235710"/>
    <w:rsid w:val="00241AC8"/>
    <w:rsid w:val="00242738"/>
    <w:rsid w:val="00244D80"/>
    <w:rsid w:val="00246713"/>
    <w:rsid w:val="00247582"/>
    <w:rsid w:val="002542F3"/>
    <w:rsid w:val="002565D0"/>
    <w:rsid w:val="002613B1"/>
    <w:rsid w:val="00261B77"/>
    <w:rsid w:val="00262BDC"/>
    <w:rsid w:val="0026773E"/>
    <w:rsid w:val="0026784E"/>
    <w:rsid w:val="00270068"/>
    <w:rsid w:val="002772D4"/>
    <w:rsid w:val="002779A1"/>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633"/>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2A1D"/>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3261"/>
    <w:rsid w:val="00385204"/>
    <w:rsid w:val="003853DE"/>
    <w:rsid w:val="0038669F"/>
    <w:rsid w:val="00390223"/>
    <w:rsid w:val="00392586"/>
    <w:rsid w:val="003960FC"/>
    <w:rsid w:val="003A2C42"/>
    <w:rsid w:val="003A56CD"/>
    <w:rsid w:val="003B0783"/>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A7C06"/>
    <w:rsid w:val="004B1F66"/>
    <w:rsid w:val="004B5953"/>
    <w:rsid w:val="004C1954"/>
    <w:rsid w:val="004C293C"/>
    <w:rsid w:val="004C310E"/>
    <w:rsid w:val="004C4435"/>
    <w:rsid w:val="004D168F"/>
    <w:rsid w:val="004D18B8"/>
    <w:rsid w:val="004D1E26"/>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0E41"/>
    <w:rsid w:val="005423D8"/>
    <w:rsid w:val="00544BBA"/>
    <w:rsid w:val="0054628F"/>
    <w:rsid w:val="00547309"/>
    <w:rsid w:val="0055376C"/>
    <w:rsid w:val="0055459F"/>
    <w:rsid w:val="005563B2"/>
    <w:rsid w:val="0055649E"/>
    <w:rsid w:val="00557223"/>
    <w:rsid w:val="0056426D"/>
    <w:rsid w:val="00567837"/>
    <w:rsid w:val="00571966"/>
    <w:rsid w:val="00573988"/>
    <w:rsid w:val="00573DE6"/>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DB5"/>
    <w:rsid w:val="00717E15"/>
    <w:rsid w:val="00720EA1"/>
    <w:rsid w:val="00721CE1"/>
    <w:rsid w:val="007223F6"/>
    <w:rsid w:val="0072330A"/>
    <w:rsid w:val="00727C0F"/>
    <w:rsid w:val="0073049C"/>
    <w:rsid w:val="0073382A"/>
    <w:rsid w:val="00735B92"/>
    <w:rsid w:val="00736200"/>
    <w:rsid w:val="00740D19"/>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0BCA"/>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287D"/>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37D"/>
    <w:rsid w:val="008808C3"/>
    <w:rsid w:val="00880BFB"/>
    <w:rsid w:val="008841D7"/>
    <w:rsid w:val="00884F87"/>
    <w:rsid w:val="00885E42"/>
    <w:rsid w:val="00885FDB"/>
    <w:rsid w:val="00890C56"/>
    <w:rsid w:val="00891F93"/>
    <w:rsid w:val="008933C6"/>
    <w:rsid w:val="008A1478"/>
    <w:rsid w:val="008A1967"/>
    <w:rsid w:val="008B0D5B"/>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3269"/>
    <w:rsid w:val="009764D0"/>
    <w:rsid w:val="00987FE4"/>
    <w:rsid w:val="00992203"/>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87F66"/>
    <w:rsid w:val="00A91A50"/>
    <w:rsid w:val="00A93E46"/>
    <w:rsid w:val="00AA0E66"/>
    <w:rsid w:val="00AA7E70"/>
    <w:rsid w:val="00AB2EB4"/>
    <w:rsid w:val="00AB3043"/>
    <w:rsid w:val="00AB35F2"/>
    <w:rsid w:val="00AB4BE9"/>
    <w:rsid w:val="00AC09B5"/>
    <w:rsid w:val="00AC31E8"/>
    <w:rsid w:val="00AC5471"/>
    <w:rsid w:val="00AD0DCD"/>
    <w:rsid w:val="00AD2916"/>
    <w:rsid w:val="00AD3A49"/>
    <w:rsid w:val="00AD3D9E"/>
    <w:rsid w:val="00AD7833"/>
    <w:rsid w:val="00AE559F"/>
    <w:rsid w:val="00AF0775"/>
    <w:rsid w:val="00AF1CA5"/>
    <w:rsid w:val="00AF3D21"/>
    <w:rsid w:val="00AF5209"/>
    <w:rsid w:val="00AF7327"/>
    <w:rsid w:val="00AF7891"/>
    <w:rsid w:val="00B02333"/>
    <w:rsid w:val="00B03B65"/>
    <w:rsid w:val="00B043F7"/>
    <w:rsid w:val="00B0618F"/>
    <w:rsid w:val="00B071DF"/>
    <w:rsid w:val="00B07705"/>
    <w:rsid w:val="00B1026F"/>
    <w:rsid w:val="00B23F71"/>
    <w:rsid w:val="00B27969"/>
    <w:rsid w:val="00B335ED"/>
    <w:rsid w:val="00B33E55"/>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97B18"/>
    <w:rsid w:val="00BA0031"/>
    <w:rsid w:val="00BA0D6C"/>
    <w:rsid w:val="00BA1659"/>
    <w:rsid w:val="00BA47D5"/>
    <w:rsid w:val="00BA546A"/>
    <w:rsid w:val="00BB1918"/>
    <w:rsid w:val="00BB297E"/>
    <w:rsid w:val="00BB44CD"/>
    <w:rsid w:val="00BB751D"/>
    <w:rsid w:val="00BB7990"/>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26E74"/>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27AF"/>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1380D"/>
    <w:rsid w:val="00E2162B"/>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3D8F"/>
    <w:rsid w:val="00E777B6"/>
    <w:rsid w:val="00E83289"/>
    <w:rsid w:val="00E848F1"/>
    <w:rsid w:val="00E920EF"/>
    <w:rsid w:val="00EA34A4"/>
    <w:rsid w:val="00EB2388"/>
    <w:rsid w:val="00EB40B2"/>
    <w:rsid w:val="00EB412C"/>
    <w:rsid w:val="00EB570C"/>
    <w:rsid w:val="00EC493C"/>
    <w:rsid w:val="00EC4C16"/>
    <w:rsid w:val="00EC7EFC"/>
    <w:rsid w:val="00ED1602"/>
    <w:rsid w:val="00ED1D7B"/>
    <w:rsid w:val="00ED6568"/>
    <w:rsid w:val="00EE2D20"/>
    <w:rsid w:val="00EE352D"/>
    <w:rsid w:val="00EE5D25"/>
    <w:rsid w:val="00EE5E91"/>
    <w:rsid w:val="00EE6E42"/>
    <w:rsid w:val="00EF07EF"/>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olene.lefur@caissedesdepots.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caissedesdepots.f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17</Pages>
  <Words>8436</Words>
  <Characters>46404</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Viniaker, Valerie</cp:lastModifiedBy>
  <cp:revision>32</cp:revision>
  <cp:lastPrinted>2024-04-25T17:33:00Z</cp:lastPrinted>
  <dcterms:created xsi:type="dcterms:W3CDTF">2024-10-23T14:52:00Z</dcterms:created>
  <dcterms:modified xsi:type="dcterms:W3CDTF">2025-07-16T12:33:00Z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